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4A7" w:rsidRPr="00CF5A38" w:rsidRDefault="002D54A7" w:rsidP="00EE12CB">
      <w:pPr>
        <w:jc w:val="right"/>
        <w:rPr>
          <w:rFonts w:ascii="Calibri" w:hAnsi="Calibri"/>
          <w:color w:val="000000" w:themeColor="text1"/>
          <w:sz w:val="20"/>
          <w:szCs w:val="20"/>
        </w:rPr>
      </w:pPr>
      <w:r w:rsidRPr="00CF5A38">
        <w:rPr>
          <w:rFonts w:ascii="Calibri" w:hAnsi="Calibri"/>
          <w:color w:val="000000" w:themeColor="text1"/>
          <w:sz w:val="20"/>
          <w:szCs w:val="20"/>
        </w:rPr>
        <w:t xml:space="preserve">No. </w:t>
      </w:r>
      <w:r w:rsidR="004B5B7C">
        <w:rPr>
          <w:rFonts w:ascii="Calibri" w:hAnsi="Calibri"/>
          <w:color w:val="000000" w:themeColor="text1"/>
          <w:sz w:val="20"/>
          <w:szCs w:val="20"/>
        </w:rPr>
        <w:t>2017-4</w:t>
      </w:r>
      <w:r w:rsidR="00BB6CC0" w:rsidRPr="00CF5A38">
        <w:rPr>
          <w:rFonts w:ascii="Calibri" w:hAnsi="Calibri"/>
          <w:color w:val="000000" w:themeColor="text1"/>
          <w:sz w:val="20"/>
          <w:szCs w:val="20"/>
        </w:rPr>
        <w:t xml:space="preserve"> | July</w:t>
      </w:r>
      <w:r w:rsidR="00B2792E">
        <w:rPr>
          <w:rFonts w:ascii="Calibri" w:hAnsi="Calibri"/>
          <w:color w:val="000000" w:themeColor="text1"/>
          <w:sz w:val="20"/>
          <w:szCs w:val="20"/>
        </w:rPr>
        <w:t xml:space="preserve"> </w:t>
      </w:r>
      <w:r w:rsidRPr="00CF5A38">
        <w:rPr>
          <w:rFonts w:ascii="Calibri" w:hAnsi="Calibri"/>
          <w:color w:val="000000" w:themeColor="text1"/>
          <w:sz w:val="20"/>
          <w:szCs w:val="20"/>
        </w:rPr>
        <w:t>2017</w:t>
      </w:r>
    </w:p>
    <w:p w:rsidR="002D54A7" w:rsidRPr="00CF5A38" w:rsidRDefault="00D22FD4" w:rsidP="00EE12CB">
      <w:pPr>
        <w:jc w:val="right"/>
        <w:rPr>
          <w:rFonts w:ascii="Calibri" w:hAnsi="Calibri"/>
          <w:color w:val="000000" w:themeColor="text1"/>
          <w:sz w:val="20"/>
          <w:szCs w:val="20"/>
        </w:rPr>
      </w:pPr>
      <w:r>
        <w:rPr>
          <w:rFonts w:ascii="Calibri" w:hAnsi="Calibri"/>
          <w:color w:val="000000" w:themeColor="text1"/>
          <w:sz w:val="20"/>
          <w:szCs w:val="20"/>
        </w:rPr>
        <w:t>Kimberly Henrie</w:t>
      </w:r>
    </w:p>
    <w:p w:rsidR="00E770A2" w:rsidRPr="00337E76" w:rsidRDefault="00E770A2" w:rsidP="00EE12CB">
      <w:pPr>
        <w:pStyle w:val="p4"/>
        <w:rPr>
          <w:rFonts w:asciiTheme="minorHAnsi" w:hAnsiTheme="minorHAnsi"/>
          <w:b/>
          <w:bCs/>
        </w:rPr>
      </w:pPr>
    </w:p>
    <w:p w:rsidR="00C84ACD" w:rsidRPr="003D6626" w:rsidRDefault="00967E76" w:rsidP="003D6626">
      <w:pPr>
        <w:pStyle w:val="IBTitle"/>
      </w:pPr>
      <w:r>
        <w:t>Tuition Waivers</w:t>
      </w:r>
    </w:p>
    <w:p w:rsidR="00C84ACD" w:rsidRPr="003D6626" w:rsidRDefault="00967E76" w:rsidP="003D6626">
      <w:pPr>
        <w:pStyle w:val="IBSubtitle"/>
        <w:rPr>
          <w:sz w:val="26"/>
          <w:szCs w:val="26"/>
        </w:rPr>
      </w:pPr>
      <w:r>
        <w:rPr>
          <w:sz w:val="26"/>
          <w:szCs w:val="26"/>
        </w:rPr>
        <w:t>Review of Authorized Tuition Waivers in USHE</w:t>
      </w:r>
    </w:p>
    <w:p w:rsidR="009A57BF" w:rsidRPr="00337E76" w:rsidRDefault="009A57BF" w:rsidP="00EE12CB">
      <w:pPr>
        <w:pStyle w:val="p6"/>
        <w:rPr>
          <w:rFonts w:asciiTheme="minorHAnsi" w:hAnsiTheme="minorHAnsi"/>
          <w:color w:val="CC5500"/>
          <w:sz w:val="20"/>
          <w:szCs w:val="20"/>
        </w:rPr>
      </w:pPr>
    </w:p>
    <w:p w:rsidR="00A9122D" w:rsidRPr="003D6626" w:rsidRDefault="00A9122D" w:rsidP="00A9122D">
      <w:pPr>
        <w:pStyle w:val="IBBodyCopy"/>
      </w:pPr>
      <w:r>
        <w:t>Tuition waivers are a type of financial aid used to help students pay for college and are often considered, and even called, scholarships by institutions and students.</w:t>
      </w:r>
      <w:r w:rsidR="00114542">
        <w:t xml:space="preserve">  </w:t>
      </w:r>
      <w:r>
        <w:t xml:space="preserve">In recent years, both the amount of tuition waived and uses of tuition waivers have expanded.  This brief provides a review of tuition waivers for the Utah System of Higher Education (USHE), focusing only on legislatively authorized tuition waivers and does not address other various forms of </w:t>
      </w:r>
      <w:r w:rsidR="00E456DD">
        <w:t>state-</w:t>
      </w:r>
      <w:r>
        <w:t xml:space="preserve">related aid (e.g. concurrent enrollment, tuition plateaus, or state funded scholarships). </w:t>
      </w:r>
    </w:p>
    <w:p w:rsidR="007D73CB" w:rsidRPr="00337E76" w:rsidRDefault="007D73CB" w:rsidP="00EE12CB">
      <w:pPr>
        <w:pStyle w:val="p9"/>
        <w:rPr>
          <w:rFonts w:asciiTheme="minorHAnsi" w:hAnsiTheme="minorHAnsi"/>
          <w:sz w:val="20"/>
          <w:szCs w:val="20"/>
        </w:rPr>
      </w:pPr>
    </w:p>
    <w:p w:rsidR="00C82969" w:rsidRPr="003D6626" w:rsidRDefault="00967E76" w:rsidP="003D6626">
      <w:pPr>
        <w:pStyle w:val="IBHeading1"/>
      </w:pPr>
      <w:r>
        <w:t>Commitment to Keep College Affordable</w:t>
      </w:r>
    </w:p>
    <w:p w:rsidR="003E052D" w:rsidRDefault="003E052D" w:rsidP="00BF51AE">
      <w:pPr>
        <w:pStyle w:val="IBSubheading2"/>
        <w:ind w:firstLine="0"/>
        <w:rPr>
          <w:rFonts w:ascii="Calibri" w:hAnsi="Calibri"/>
          <w:i w:val="0"/>
          <w:sz w:val="20"/>
          <w:szCs w:val="20"/>
        </w:rPr>
      </w:pPr>
      <w:r>
        <w:rPr>
          <w:rFonts w:ascii="Calibri" w:hAnsi="Calibri"/>
          <w:i w:val="0"/>
          <w:sz w:val="20"/>
          <w:szCs w:val="20"/>
        </w:rPr>
        <w:t>Utah is currently ranked 4</w:t>
      </w:r>
      <w:r w:rsidRPr="00967E76">
        <w:rPr>
          <w:rFonts w:ascii="Calibri" w:hAnsi="Calibri"/>
          <w:i w:val="0"/>
          <w:sz w:val="20"/>
          <w:szCs w:val="20"/>
          <w:vertAlign w:val="superscript"/>
        </w:rPr>
        <w:t>th</w:t>
      </w:r>
      <w:r>
        <w:rPr>
          <w:rFonts w:ascii="Calibri" w:hAnsi="Calibri"/>
          <w:i w:val="0"/>
          <w:sz w:val="20"/>
          <w:szCs w:val="20"/>
        </w:rPr>
        <w:t xml:space="preserve"> in the nation for the lowest 4-year tuition rates</w:t>
      </w:r>
      <w:r w:rsidR="00A9122D">
        <w:rPr>
          <w:rFonts w:ascii="Calibri" w:hAnsi="Calibri"/>
          <w:i w:val="0"/>
          <w:sz w:val="20"/>
          <w:szCs w:val="20"/>
        </w:rPr>
        <w:t xml:space="preserve"> for public institutions</w:t>
      </w:r>
      <w:r>
        <w:rPr>
          <w:rFonts w:ascii="Calibri" w:hAnsi="Calibri"/>
          <w:i w:val="0"/>
          <w:sz w:val="20"/>
          <w:szCs w:val="20"/>
        </w:rPr>
        <w:t xml:space="preserve"> and </w:t>
      </w:r>
      <w:r w:rsidR="00197BE2">
        <w:rPr>
          <w:rFonts w:ascii="Calibri" w:hAnsi="Calibri"/>
          <w:i w:val="0"/>
          <w:sz w:val="20"/>
          <w:szCs w:val="20"/>
        </w:rPr>
        <w:t xml:space="preserve">consistently has </w:t>
      </w:r>
      <w:r>
        <w:rPr>
          <w:rFonts w:ascii="Calibri" w:hAnsi="Calibri"/>
          <w:i w:val="0"/>
          <w:sz w:val="20"/>
          <w:szCs w:val="20"/>
        </w:rPr>
        <w:t xml:space="preserve">the lowest student debt </w:t>
      </w:r>
      <w:r w:rsidR="00197BE2">
        <w:rPr>
          <w:rFonts w:ascii="Calibri" w:hAnsi="Calibri"/>
          <w:i w:val="0"/>
          <w:sz w:val="20"/>
          <w:szCs w:val="20"/>
        </w:rPr>
        <w:t>amounts</w:t>
      </w:r>
      <w:r w:rsidR="00B02A27">
        <w:rPr>
          <w:rFonts w:ascii="Calibri" w:hAnsi="Calibri"/>
          <w:i w:val="0"/>
          <w:sz w:val="20"/>
          <w:szCs w:val="20"/>
        </w:rPr>
        <w:t>.</w:t>
      </w:r>
      <w:r w:rsidR="00B02A27">
        <w:rPr>
          <w:rStyle w:val="FootnoteReference"/>
          <w:rFonts w:ascii="Calibri" w:hAnsi="Calibri"/>
          <w:i w:val="0"/>
          <w:sz w:val="20"/>
          <w:szCs w:val="20"/>
        </w:rPr>
        <w:footnoteReference w:id="1"/>
      </w:r>
      <w:r w:rsidR="00D22FD4" w:rsidRPr="00D22FD4">
        <w:rPr>
          <w:rFonts w:ascii="Calibri" w:hAnsi="Calibri"/>
          <w:i w:val="0"/>
          <w:sz w:val="20"/>
          <w:szCs w:val="20"/>
          <w:vertAlign w:val="superscript"/>
        </w:rPr>
        <w:t>,</w:t>
      </w:r>
      <w:r w:rsidR="00D22FD4">
        <w:rPr>
          <w:rStyle w:val="FootnoteReference"/>
          <w:rFonts w:ascii="Calibri" w:hAnsi="Calibri"/>
          <w:i w:val="0"/>
          <w:sz w:val="20"/>
          <w:szCs w:val="20"/>
        </w:rPr>
        <w:footnoteReference w:id="2"/>
      </w:r>
      <w:r>
        <w:rPr>
          <w:rFonts w:ascii="Calibri" w:hAnsi="Calibri"/>
          <w:i w:val="0"/>
          <w:sz w:val="20"/>
          <w:szCs w:val="20"/>
        </w:rPr>
        <w:t xml:space="preserve"> </w:t>
      </w:r>
      <w:r w:rsidR="00967E76">
        <w:rPr>
          <w:rFonts w:ascii="Calibri" w:hAnsi="Calibri"/>
          <w:i w:val="0"/>
          <w:sz w:val="20"/>
          <w:szCs w:val="20"/>
        </w:rPr>
        <w:t xml:space="preserve">The Board of Regents and </w:t>
      </w:r>
      <w:r w:rsidR="00967E76" w:rsidRPr="00967E76">
        <w:rPr>
          <w:rFonts w:ascii="Calibri" w:hAnsi="Calibri"/>
          <w:i w:val="0"/>
          <w:sz w:val="20"/>
          <w:szCs w:val="20"/>
        </w:rPr>
        <w:t xml:space="preserve">USHE institutions are committed to keeping college affordable </w:t>
      </w:r>
      <w:r w:rsidR="00197BE2">
        <w:rPr>
          <w:rFonts w:ascii="Calibri" w:hAnsi="Calibri"/>
          <w:i w:val="0"/>
          <w:sz w:val="20"/>
          <w:szCs w:val="20"/>
        </w:rPr>
        <w:t xml:space="preserve">by </w:t>
      </w:r>
      <w:r w:rsidR="00967E76">
        <w:rPr>
          <w:rFonts w:ascii="Calibri" w:hAnsi="Calibri"/>
          <w:i w:val="0"/>
          <w:sz w:val="20"/>
          <w:szCs w:val="20"/>
        </w:rPr>
        <w:t>keeping tuition rates as low as possible</w:t>
      </w:r>
      <w:r w:rsidR="00197BE2">
        <w:rPr>
          <w:rFonts w:ascii="Calibri" w:hAnsi="Calibri"/>
          <w:i w:val="0"/>
          <w:sz w:val="20"/>
          <w:szCs w:val="20"/>
        </w:rPr>
        <w:t xml:space="preserve"> while ensuring that institutions continue to have the resources necessary to provide the educational experience that students expect</w:t>
      </w:r>
      <w:r w:rsidR="00967E76">
        <w:rPr>
          <w:rFonts w:ascii="Calibri" w:hAnsi="Calibri"/>
          <w:i w:val="0"/>
          <w:sz w:val="20"/>
          <w:szCs w:val="20"/>
        </w:rPr>
        <w:t xml:space="preserve">. </w:t>
      </w:r>
      <w:r>
        <w:rPr>
          <w:rFonts w:ascii="Calibri" w:hAnsi="Calibri"/>
          <w:i w:val="0"/>
          <w:sz w:val="20"/>
          <w:szCs w:val="20"/>
        </w:rPr>
        <w:t xml:space="preserve"> In the 2025 Regents</w:t>
      </w:r>
      <w:r w:rsidR="008F3250">
        <w:rPr>
          <w:rFonts w:ascii="Calibri" w:hAnsi="Calibri"/>
          <w:i w:val="0"/>
          <w:sz w:val="20"/>
          <w:szCs w:val="20"/>
        </w:rPr>
        <w:t>’</w:t>
      </w:r>
      <w:r>
        <w:rPr>
          <w:rFonts w:ascii="Calibri" w:hAnsi="Calibri"/>
          <w:i w:val="0"/>
          <w:sz w:val="20"/>
          <w:szCs w:val="20"/>
        </w:rPr>
        <w:t xml:space="preserve"> Strategic Plan, the Board has specifically identified “Affordable Participation” as one of its three priority goals for the next 10 years.</w:t>
      </w:r>
      <w:r w:rsidR="00967E76">
        <w:rPr>
          <w:rFonts w:ascii="Calibri" w:hAnsi="Calibri"/>
          <w:i w:val="0"/>
          <w:sz w:val="20"/>
          <w:szCs w:val="20"/>
        </w:rPr>
        <w:t xml:space="preserve"> </w:t>
      </w:r>
      <w:r>
        <w:rPr>
          <w:rFonts w:ascii="Calibri" w:hAnsi="Calibri"/>
          <w:i w:val="0"/>
          <w:sz w:val="20"/>
          <w:szCs w:val="20"/>
        </w:rPr>
        <w:t xml:space="preserve">  The Board recognizes that in order to keep college affordable for students in the future</w:t>
      </w:r>
      <w:r w:rsidR="008F3250">
        <w:rPr>
          <w:rFonts w:ascii="Calibri" w:hAnsi="Calibri"/>
          <w:i w:val="0"/>
          <w:sz w:val="20"/>
          <w:szCs w:val="20"/>
        </w:rPr>
        <w:t>,</w:t>
      </w:r>
      <w:r>
        <w:rPr>
          <w:rFonts w:ascii="Calibri" w:hAnsi="Calibri"/>
          <w:i w:val="0"/>
          <w:sz w:val="20"/>
          <w:szCs w:val="20"/>
        </w:rPr>
        <w:t xml:space="preserve"> a</w:t>
      </w:r>
      <w:r w:rsidR="00967E76">
        <w:rPr>
          <w:rFonts w:ascii="Calibri" w:hAnsi="Calibri"/>
          <w:i w:val="0"/>
          <w:sz w:val="20"/>
          <w:szCs w:val="20"/>
        </w:rPr>
        <w:t xml:space="preserve">ccess to student aid </w:t>
      </w:r>
      <w:r w:rsidR="003B1DB4">
        <w:rPr>
          <w:rFonts w:ascii="Calibri" w:hAnsi="Calibri"/>
          <w:i w:val="0"/>
          <w:sz w:val="20"/>
          <w:szCs w:val="20"/>
        </w:rPr>
        <w:t>is</w:t>
      </w:r>
      <w:r>
        <w:rPr>
          <w:rFonts w:ascii="Calibri" w:hAnsi="Calibri"/>
          <w:i w:val="0"/>
          <w:sz w:val="20"/>
          <w:szCs w:val="20"/>
        </w:rPr>
        <w:t xml:space="preserve"> </w:t>
      </w:r>
      <w:r w:rsidR="003B1DB4">
        <w:rPr>
          <w:rFonts w:ascii="Calibri" w:hAnsi="Calibri"/>
          <w:i w:val="0"/>
          <w:sz w:val="20"/>
          <w:szCs w:val="20"/>
        </w:rPr>
        <w:t xml:space="preserve">critical.  </w:t>
      </w:r>
    </w:p>
    <w:p w:rsidR="003E052D" w:rsidRDefault="003E052D" w:rsidP="00BF51AE">
      <w:pPr>
        <w:pStyle w:val="IBSubheading2"/>
        <w:ind w:firstLine="0"/>
        <w:rPr>
          <w:rFonts w:ascii="Calibri" w:hAnsi="Calibri"/>
          <w:i w:val="0"/>
          <w:sz w:val="20"/>
          <w:szCs w:val="20"/>
        </w:rPr>
      </w:pPr>
    </w:p>
    <w:p w:rsidR="00BF51AE" w:rsidRPr="003E052D" w:rsidRDefault="003E052D" w:rsidP="00BF51AE">
      <w:pPr>
        <w:pStyle w:val="IBSubheading2"/>
        <w:ind w:firstLine="0"/>
        <w:rPr>
          <w:rFonts w:ascii="Calibri" w:hAnsi="Calibri"/>
          <w:i w:val="0"/>
          <w:sz w:val="20"/>
          <w:szCs w:val="20"/>
        </w:rPr>
      </w:pPr>
      <w:r>
        <w:rPr>
          <w:rFonts w:ascii="Calibri" w:hAnsi="Calibri"/>
          <w:i w:val="0"/>
          <w:sz w:val="20"/>
          <w:szCs w:val="20"/>
        </w:rPr>
        <w:t xml:space="preserve">Student aid comes in many forms including </w:t>
      </w:r>
      <w:r w:rsidR="00E456DD">
        <w:rPr>
          <w:rFonts w:ascii="Calibri" w:hAnsi="Calibri"/>
          <w:i w:val="0"/>
          <w:sz w:val="20"/>
          <w:szCs w:val="20"/>
        </w:rPr>
        <w:t xml:space="preserve">federal grants, </w:t>
      </w:r>
      <w:r>
        <w:rPr>
          <w:rFonts w:ascii="Calibri" w:hAnsi="Calibri"/>
          <w:i w:val="0"/>
          <w:sz w:val="20"/>
          <w:szCs w:val="20"/>
        </w:rPr>
        <w:t>scholarships, and tuition waivers</w:t>
      </w:r>
      <w:r w:rsidR="00197BE2">
        <w:rPr>
          <w:rFonts w:ascii="Calibri" w:hAnsi="Calibri"/>
          <w:i w:val="0"/>
          <w:sz w:val="20"/>
          <w:szCs w:val="20"/>
        </w:rPr>
        <w:t xml:space="preserve">. </w:t>
      </w:r>
      <w:r>
        <w:rPr>
          <w:rFonts w:ascii="Calibri" w:hAnsi="Calibri"/>
          <w:i w:val="0"/>
          <w:sz w:val="20"/>
          <w:szCs w:val="20"/>
        </w:rPr>
        <w:t xml:space="preserve"> From a student perspective</w:t>
      </w:r>
      <w:r w:rsidR="00197BE2">
        <w:rPr>
          <w:rFonts w:ascii="Calibri" w:hAnsi="Calibri"/>
          <w:i w:val="0"/>
          <w:sz w:val="20"/>
          <w:szCs w:val="20"/>
        </w:rPr>
        <w:t>,</w:t>
      </w:r>
      <w:r>
        <w:rPr>
          <w:rFonts w:ascii="Calibri" w:hAnsi="Calibri"/>
          <w:i w:val="0"/>
          <w:sz w:val="20"/>
          <w:szCs w:val="20"/>
        </w:rPr>
        <w:t xml:space="preserve"> </w:t>
      </w:r>
      <w:r w:rsidR="00197BE2">
        <w:rPr>
          <w:rFonts w:ascii="Calibri" w:hAnsi="Calibri"/>
          <w:i w:val="0"/>
          <w:sz w:val="20"/>
          <w:szCs w:val="20"/>
        </w:rPr>
        <w:t xml:space="preserve">all </w:t>
      </w:r>
      <w:r>
        <w:rPr>
          <w:rFonts w:ascii="Calibri" w:hAnsi="Calibri"/>
          <w:i w:val="0"/>
          <w:sz w:val="20"/>
          <w:szCs w:val="20"/>
        </w:rPr>
        <w:t>student aid serves the same purpose</w:t>
      </w:r>
      <w:r w:rsidR="00114542">
        <w:rPr>
          <w:rFonts w:ascii="Calibri" w:hAnsi="Calibri"/>
          <w:i w:val="0"/>
          <w:sz w:val="20"/>
          <w:szCs w:val="20"/>
        </w:rPr>
        <w:t xml:space="preserve">. </w:t>
      </w:r>
      <w:r w:rsidR="00E456DD">
        <w:rPr>
          <w:rFonts w:ascii="Calibri" w:hAnsi="Calibri"/>
          <w:i w:val="0"/>
          <w:sz w:val="20"/>
          <w:szCs w:val="20"/>
        </w:rPr>
        <w:t>U</w:t>
      </w:r>
      <w:r w:rsidR="00197BE2">
        <w:rPr>
          <w:rFonts w:ascii="Calibri" w:hAnsi="Calibri"/>
          <w:i w:val="0"/>
          <w:sz w:val="20"/>
          <w:szCs w:val="20"/>
        </w:rPr>
        <w:t xml:space="preserve">ltimately, </w:t>
      </w:r>
      <w:r w:rsidR="00E456DD">
        <w:rPr>
          <w:rFonts w:ascii="Calibri" w:hAnsi="Calibri"/>
          <w:i w:val="0"/>
          <w:sz w:val="20"/>
          <w:szCs w:val="20"/>
        </w:rPr>
        <w:t>aid</w:t>
      </w:r>
      <w:r>
        <w:rPr>
          <w:rFonts w:ascii="Calibri" w:hAnsi="Calibri"/>
          <w:i w:val="0"/>
          <w:sz w:val="20"/>
          <w:szCs w:val="20"/>
        </w:rPr>
        <w:t xml:space="preserve"> reduces the </w:t>
      </w:r>
      <w:r w:rsidR="00197BE2">
        <w:rPr>
          <w:rFonts w:ascii="Calibri" w:hAnsi="Calibri"/>
          <w:i w:val="0"/>
          <w:sz w:val="20"/>
          <w:szCs w:val="20"/>
        </w:rPr>
        <w:t xml:space="preserve">out-of-pocket </w:t>
      </w:r>
      <w:r>
        <w:rPr>
          <w:rFonts w:ascii="Calibri" w:hAnsi="Calibri"/>
          <w:i w:val="0"/>
          <w:sz w:val="20"/>
          <w:szCs w:val="20"/>
        </w:rPr>
        <w:t>amount that a student must pay for their education.  However, not all student aid is the same from an institution</w:t>
      </w:r>
      <w:r w:rsidR="008F3250">
        <w:rPr>
          <w:rFonts w:ascii="Calibri" w:hAnsi="Calibri"/>
          <w:i w:val="0"/>
          <w:sz w:val="20"/>
          <w:szCs w:val="20"/>
        </w:rPr>
        <w:t>al</w:t>
      </w:r>
      <w:r>
        <w:rPr>
          <w:rFonts w:ascii="Calibri" w:hAnsi="Calibri"/>
          <w:i w:val="0"/>
          <w:sz w:val="20"/>
          <w:szCs w:val="20"/>
        </w:rPr>
        <w:t xml:space="preserve"> perspective.  The</w:t>
      </w:r>
      <w:r w:rsidR="00197BE2">
        <w:rPr>
          <w:rFonts w:ascii="Calibri" w:hAnsi="Calibri"/>
          <w:i w:val="0"/>
          <w:sz w:val="20"/>
          <w:szCs w:val="20"/>
        </w:rPr>
        <w:t xml:space="preserve"> various</w:t>
      </w:r>
      <w:r>
        <w:rPr>
          <w:rFonts w:ascii="Calibri" w:hAnsi="Calibri"/>
          <w:i w:val="0"/>
          <w:sz w:val="20"/>
          <w:szCs w:val="20"/>
        </w:rPr>
        <w:t xml:space="preserve"> student aid programs have different financial impacts</w:t>
      </w:r>
      <w:r w:rsidR="00197BE2">
        <w:rPr>
          <w:rFonts w:ascii="Calibri" w:hAnsi="Calibri"/>
          <w:i w:val="0"/>
          <w:sz w:val="20"/>
          <w:szCs w:val="20"/>
        </w:rPr>
        <w:t xml:space="preserve"> on the amount of revenue</w:t>
      </w:r>
      <w:r w:rsidR="008F3250">
        <w:rPr>
          <w:rFonts w:ascii="Calibri" w:hAnsi="Calibri"/>
          <w:i w:val="0"/>
          <w:sz w:val="20"/>
          <w:szCs w:val="20"/>
        </w:rPr>
        <w:t xml:space="preserve"> institutions receive</w:t>
      </w:r>
      <w:r>
        <w:rPr>
          <w:rFonts w:ascii="Calibri" w:hAnsi="Calibri"/>
          <w:i w:val="0"/>
          <w:sz w:val="20"/>
          <w:szCs w:val="20"/>
        </w:rPr>
        <w:t xml:space="preserve">.  For example, </w:t>
      </w:r>
      <w:r w:rsidRPr="003E052D">
        <w:rPr>
          <w:rFonts w:ascii="Calibri" w:hAnsi="Calibri"/>
          <w:i w:val="0"/>
          <w:sz w:val="20"/>
          <w:szCs w:val="20"/>
        </w:rPr>
        <w:t xml:space="preserve">a scholarship is generally funded from either </w:t>
      </w:r>
      <w:r w:rsidR="008F3250">
        <w:rPr>
          <w:rFonts w:ascii="Calibri" w:hAnsi="Calibri"/>
          <w:i w:val="0"/>
          <w:sz w:val="20"/>
          <w:szCs w:val="20"/>
        </w:rPr>
        <w:t>a third party or through institu</w:t>
      </w:r>
      <w:r w:rsidRPr="003E052D">
        <w:rPr>
          <w:rFonts w:ascii="Calibri" w:hAnsi="Calibri"/>
          <w:i w:val="0"/>
          <w:sz w:val="20"/>
          <w:szCs w:val="20"/>
        </w:rPr>
        <w:t>tion</w:t>
      </w:r>
      <w:r w:rsidR="008F3250">
        <w:rPr>
          <w:rFonts w:ascii="Calibri" w:hAnsi="Calibri"/>
          <w:i w:val="0"/>
          <w:sz w:val="20"/>
          <w:szCs w:val="20"/>
        </w:rPr>
        <w:t>al</w:t>
      </w:r>
      <w:r w:rsidRPr="003E052D">
        <w:rPr>
          <w:rFonts w:ascii="Calibri" w:hAnsi="Calibri"/>
          <w:i w:val="0"/>
          <w:sz w:val="20"/>
          <w:szCs w:val="20"/>
        </w:rPr>
        <w:t xml:space="preserve"> resources and provides </w:t>
      </w:r>
      <w:r w:rsidR="00BB6CC0">
        <w:rPr>
          <w:rFonts w:ascii="Calibri" w:hAnsi="Calibri"/>
          <w:i w:val="0"/>
          <w:sz w:val="20"/>
          <w:szCs w:val="20"/>
        </w:rPr>
        <w:t>actual</w:t>
      </w:r>
      <w:r w:rsidRPr="003E052D">
        <w:rPr>
          <w:rFonts w:ascii="Calibri" w:hAnsi="Calibri"/>
          <w:i w:val="0"/>
          <w:sz w:val="20"/>
          <w:szCs w:val="20"/>
        </w:rPr>
        <w:t xml:space="preserve"> dollars to support the cost of education on behalf of a student.  Tuition waivers</w:t>
      </w:r>
      <w:r w:rsidR="00197BE2">
        <w:rPr>
          <w:rFonts w:ascii="Calibri" w:hAnsi="Calibri"/>
          <w:i w:val="0"/>
          <w:sz w:val="20"/>
          <w:szCs w:val="20"/>
        </w:rPr>
        <w:t>,</w:t>
      </w:r>
      <w:r w:rsidRPr="003E052D">
        <w:rPr>
          <w:rFonts w:ascii="Calibri" w:hAnsi="Calibri"/>
          <w:i w:val="0"/>
          <w:sz w:val="20"/>
          <w:szCs w:val="20"/>
        </w:rPr>
        <w:t xml:space="preserve"> however</w:t>
      </w:r>
      <w:r w:rsidR="00197BE2">
        <w:rPr>
          <w:rFonts w:ascii="Calibri" w:hAnsi="Calibri"/>
          <w:i w:val="0"/>
          <w:sz w:val="20"/>
          <w:szCs w:val="20"/>
        </w:rPr>
        <w:t>,</w:t>
      </w:r>
      <w:r w:rsidRPr="003E052D">
        <w:rPr>
          <w:rFonts w:ascii="Calibri" w:hAnsi="Calibri"/>
          <w:i w:val="0"/>
          <w:sz w:val="20"/>
          <w:szCs w:val="20"/>
        </w:rPr>
        <w:t xml:space="preserve"> are not funded with </w:t>
      </w:r>
      <w:r w:rsidR="00BB6CC0">
        <w:rPr>
          <w:rFonts w:ascii="Calibri" w:hAnsi="Calibri"/>
          <w:i w:val="0"/>
          <w:sz w:val="20"/>
          <w:szCs w:val="20"/>
        </w:rPr>
        <w:t>actual</w:t>
      </w:r>
      <w:r w:rsidRPr="003E052D">
        <w:rPr>
          <w:rFonts w:ascii="Calibri" w:hAnsi="Calibri"/>
          <w:i w:val="0"/>
          <w:sz w:val="20"/>
          <w:szCs w:val="20"/>
        </w:rPr>
        <w:t xml:space="preserve"> dollars, but are considered a discount which reduces the amount of tuition that an institution collect from the student</w:t>
      </w:r>
      <w:r w:rsidR="00197BE2">
        <w:rPr>
          <w:rFonts w:ascii="Calibri" w:hAnsi="Calibri"/>
          <w:i w:val="0"/>
          <w:sz w:val="20"/>
          <w:szCs w:val="20"/>
        </w:rPr>
        <w:t xml:space="preserve">.  </w:t>
      </w:r>
      <w:r w:rsidR="00BF51AE">
        <w:rPr>
          <w:rFonts w:ascii="Calibri" w:hAnsi="Calibri"/>
          <w:i w:val="0"/>
          <w:sz w:val="20"/>
          <w:szCs w:val="20"/>
        </w:rPr>
        <w:t xml:space="preserve"> </w:t>
      </w:r>
      <w:r w:rsidR="00BF51AE" w:rsidRPr="00BF51AE">
        <w:rPr>
          <w:rFonts w:ascii="Calibri" w:hAnsi="Calibri"/>
          <w:i w:val="0"/>
          <w:sz w:val="20"/>
          <w:szCs w:val="20"/>
        </w:rPr>
        <w:t>T</w:t>
      </w:r>
      <w:r w:rsidR="00BF51AE">
        <w:rPr>
          <w:rFonts w:ascii="Calibri" w:hAnsi="Calibri"/>
          <w:i w:val="0"/>
          <w:sz w:val="20"/>
          <w:szCs w:val="20"/>
        </w:rPr>
        <w:t>uition</w:t>
      </w:r>
      <w:r w:rsidR="00BF51AE" w:rsidRPr="00BF51AE">
        <w:rPr>
          <w:rFonts w:ascii="Calibri" w:hAnsi="Calibri"/>
          <w:i w:val="0"/>
          <w:sz w:val="20"/>
          <w:szCs w:val="20"/>
        </w:rPr>
        <w:t xml:space="preserve"> waivers provide the Board and USHE institutions</w:t>
      </w:r>
      <w:r w:rsidR="008F3250">
        <w:rPr>
          <w:rFonts w:ascii="Calibri" w:hAnsi="Calibri"/>
          <w:i w:val="0"/>
          <w:sz w:val="20"/>
          <w:szCs w:val="20"/>
        </w:rPr>
        <w:t xml:space="preserve"> with</w:t>
      </w:r>
      <w:r w:rsidR="00BF51AE" w:rsidRPr="00BF51AE">
        <w:rPr>
          <w:rFonts w:ascii="Calibri" w:hAnsi="Calibri"/>
          <w:i w:val="0"/>
          <w:sz w:val="20"/>
          <w:szCs w:val="20"/>
        </w:rPr>
        <w:t xml:space="preserve"> a number of different financial tools to help keep college affordable, attract top performing students, and retain students</w:t>
      </w:r>
      <w:r w:rsidR="00E456DD">
        <w:rPr>
          <w:rFonts w:ascii="Calibri" w:hAnsi="Calibri"/>
          <w:i w:val="0"/>
          <w:sz w:val="20"/>
          <w:szCs w:val="20"/>
        </w:rPr>
        <w:t xml:space="preserve"> through completion</w:t>
      </w:r>
      <w:r w:rsidR="00BF51AE" w:rsidRPr="00BF51AE">
        <w:rPr>
          <w:rFonts w:ascii="Calibri" w:hAnsi="Calibri"/>
          <w:i w:val="0"/>
          <w:sz w:val="20"/>
          <w:szCs w:val="20"/>
        </w:rPr>
        <w:t>.</w:t>
      </w:r>
      <w:r w:rsidR="00BF51AE">
        <w:rPr>
          <w:rFonts w:ascii="Calibri" w:hAnsi="Calibri"/>
          <w:i w:val="0"/>
          <w:sz w:val="20"/>
          <w:szCs w:val="20"/>
        </w:rPr>
        <w:t xml:space="preserve"> Institutions are becoming more innovative and intentional in the use of their tuition waivers</w:t>
      </w:r>
      <w:r w:rsidR="008F3250">
        <w:rPr>
          <w:rFonts w:ascii="Calibri" w:hAnsi="Calibri"/>
          <w:i w:val="0"/>
          <w:sz w:val="20"/>
          <w:szCs w:val="20"/>
        </w:rPr>
        <w:t xml:space="preserve"> by creating programs that help</w:t>
      </w:r>
      <w:r w:rsidR="00BF51AE">
        <w:rPr>
          <w:rFonts w:ascii="Calibri" w:hAnsi="Calibri"/>
          <w:i w:val="0"/>
          <w:sz w:val="20"/>
          <w:szCs w:val="20"/>
        </w:rPr>
        <w:t xml:space="preserve"> students complete their education</w:t>
      </w:r>
      <w:r w:rsidR="008F3250">
        <w:rPr>
          <w:rFonts w:ascii="Calibri" w:hAnsi="Calibri"/>
          <w:i w:val="0"/>
          <w:sz w:val="20"/>
          <w:szCs w:val="20"/>
        </w:rPr>
        <w:t>al</w:t>
      </w:r>
      <w:r w:rsidR="00BF51AE">
        <w:rPr>
          <w:rFonts w:ascii="Calibri" w:hAnsi="Calibri"/>
          <w:i w:val="0"/>
          <w:sz w:val="20"/>
          <w:szCs w:val="20"/>
        </w:rPr>
        <w:t xml:space="preserve"> goal</w:t>
      </w:r>
      <w:r w:rsidR="00E456DD">
        <w:rPr>
          <w:rFonts w:ascii="Calibri" w:hAnsi="Calibri"/>
          <w:i w:val="0"/>
          <w:sz w:val="20"/>
          <w:szCs w:val="20"/>
        </w:rPr>
        <w:t>s such as Dream Weber and SLCC P</w:t>
      </w:r>
      <w:r w:rsidR="00BF51AE">
        <w:rPr>
          <w:rFonts w:ascii="Calibri" w:hAnsi="Calibri"/>
          <w:i w:val="0"/>
          <w:sz w:val="20"/>
          <w:szCs w:val="20"/>
        </w:rPr>
        <w:t xml:space="preserve">romise.  </w:t>
      </w:r>
    </w:p>
    <w:p w:rsidR="00BF51AE" w:rsidRPr="00967E76" w:rsidRDefault="00BF51AE" w:rsidP="00BF51AE">
      <w:pPr>
        <w:pStyle w:val="IBSubheading2"/>
        <w:ind w:firstLine="0"/>
        <w:rPr>
          <w:rFonts w:ascii="Calibri" w:hAnsi="Calibri"/>
          <w:sz w:val="20"/>
          <w:szCs w:val="20"/>
        </w:rPr>
      </w:pPr>
    </w:p>
    <w:p w:rsidR="00BF51AE" w:rsidRPr="003E052D" w:rsidRDefault="00BF51AE" w:rsidP="00BF51AE">
      <w:pPr>
        <w:pStyle w:val="IBSubheading2"/>
        <w:ind w:firstLine="0"/>
        <w:rPr>
          <w:rFonts w:ascii="Calibri" w:hAnsi="Calibri"/>
          <w:i w:val="0"/>
          <w:sz w:val="20"/>
          <w:szCs w:val="20"/>
        </w:rPr>
      </w:pPr>
      <w:r>
        <w:rPr>
          <w:rFonts w:ascii="Calibri" w:hAnsi="Calibri"/>
          <w:i w:val="0"/>
          <w:sz w:val="20"/>
          <w:szCs w:val="20"/>
        </w:rPr>
        <w:t>In order to ensure that adequate resources are available to meet</w:t>
      </w:r>
      <w:r w:rsidR="008F3250">
        <w:rPr>
          <w:rFonts w:ascii="Calibri" w:hAnsi="Calibri"/>
          <w:i w:val="0"/>
          <w:sz w:val="20"/>
          <w:szCs w:val="20"/>
        </w:rPr>
        <w:t xml:space="preserve"> their</w:t>
      </w:r>
      <w:r>
        <w:rPr>
          <w:rFonts w:ascii="Calibri" w:hAnsi="Calibri"/>
          <w:i w:val="0"/>
          <w:sz w:val="20"/>
          <w:szCs w:val="20"/>
        </w:rPr>
        <w:t xml:space="preserve"> mission and roles, while providing access to financial support for students, institutions monitor and track the amount of tuition waivers awarded and annually report this information to the Board. </w:t>
      </w:r>
    </w:p>
    <w:p w:rsidR="003E052D" w:rsidRDefault="003E052D" w:rsidP="00967E76">
      <w:pPr>
        <w:pStyle w:val="IBSubheading2"/>
        <w:ind w:firstLine="0"/>
        <w:rPr>
          <w:rFonts w:ascii="Calibri" w:hAnsi="Calibri"/>
          <w:i w:val="0"/>
          <w:sz w:val="20"/>
          <w:szCs w:val="20"/>
        </w:rPr>
      </w:pPr>
    </w:p>
    <w:p w:rsidR="007D73CB" w:rsidRPr="003D6626" w:rsidRDefault="00BF51AE" w:rsidP="003D6626">
      <w:pPr>
        <w:pStyle w:val="IBSubheading1"/>
      </w:pPr>
      <w:r>
        <w:t>Statutory Tuition Waivers</w:t>
      </w:r>
    </w:p>
    <w:p w:rsidR="00BF51AE" w:rsidRDefault="00BF51AE" w:rsidP="00BF51AE">
      <w:pPr>
        <w:pStyle w:val="IBSubheading2"/>
        <w:ind w:firstLine="0"/>
        <w:rPr>
          <w:rFonts w:ascii="Calibri" w:hAnsi="Calibri"/>
          <w:i w:val="0"/>
          <w:sz w:val="20"/>
          <w:szCs w:val="20"/>
        </w:rPr>
      </w:pPr>
      <w:r>
        <w:rPr>
          <w:rFonts w:ascii="Calibri" w:hAnsi="Calibri"/>
          <w:i w:val="0"/>
          <w:sz w:val="20"/>
          <w:szCs w:val="20"/>
        </w:rPr>
        <w:t>In Utah statute</w:t>
      </w:r>
      <w:r w:rsidR="00B2792E">
        <w:rPr>
          <w:rFonts w:ascii="Calibri" w:hAnsi="Calibri"/>
          <w:i w:val="0"/>
          <w:sz w:val="20"/>
          <w:szCs w:val="20"/>
        </w:rPr>
        <w:t>,</w:t>
      </w:r>
      <w:r>
        <w:rPr>
          <w:rFonts w:ascii="Calibri" w:hAnsi="Calibri"/>
          <w:i w:val="0"/>
          <w:sz w:val="20"/>
          <w:szCs w:val="20"/>
        </w:rPr>
        <w:t xml:space="preserve"> t</w:t>
      </w:r>
      <w:r w:rsidRPr="00BF51AE">
        <w:rPr>
          <w:rFonts w:ascii="Calibri" w:hAnsi="Calibri"/>
          <w:i w:val="0"/>
          <w:sz w:val="20"/>
          <w:szCs w:val="20"/>
        </w:rPr>
        <w:t>here are over 21 different variations of tuition waivers designed to financially assist both resident and non-resident students who choose to attend a USHE institution.</w:t>
      </w:r>
      <w:r>
        <w:rPr>
          <w:rFonts w:ascii="Calibri" w:hAnsi="Calibri"/>
          <w:i w:val="0"/>
          <w:sz w:val="20"/>
          <w:szCs w:val="20"/>
        </w:rPr>
        <w:t xml:space="preserve">  For non-resident waivers</w:t>
      </w:r>
      <w:r w:rsidR="00B2792E">
        <w:rPr>
          <w:rFonts w:ascii="Calibri" w:hAnsi="Calibri"/>
          <w:i w:val="0"/>
          <w:sz w:val="20"/>
          <w:szCs w:val="20"/>
        </w:rPr>
        <w:t>,</w:t>
      </w:r>
      <w:r>
        <w:rPr>
          <w:rFonts w:ascii="Calibri" w:hAnsi="Calibri"/>
          <w:i w:val="0"/>
          <w:sz w:val="20"/>
          <w:szCs w:val="20"/>
        </w:rPr>
        <w:t xml:space="preserve"> </w:t>
      </w:r>
      <w:r w:rsidRPr="00BF51AE">
        <w:rPr>
          <w:rFonts w:ascii="Calibri" w:hAnsi="Calibri"/>
          <w:i w:val="0"/>
          <w:sz w:val="20"/>
          <w:szCs w:val="20"/>
        </w:rPr>
        <w:t xml:space="preserve">the Utah Legislature has identified six specific purposes justifying the use of </w:t>
      </w:r>
      <w:r w:rsidR="00E456DD">
        <w:rPr>
          <w:rFonts w:ascii="Calibri" w:hAnsi="Calibri"/>
          <w:i w:val="0"/>
          <w:sz w:val="20"/>
          <w:szCs w:val="20"/>
        </w:rPr>
        <w:t>non-resident</w:t>
      </w:r>
      <w:r w:rsidR="009B67AA">
        <w:rPr>
          <w:rFonts w:ascii="Calibri" w:hAnsi="Calibri"/>
          <w:i w:val="0"/>
          <w:sz w:val="20"/>
          <w:szCs w:val="20"/>
        </w:rPr>
        <w:t xml:space="preserve"> </w:t>
      </w:r>
      <w:r w:rsidR="00E456DD">
        <w:rPr>
          <w:rFonts w:ascii="Calibri" w:hAnsi="Calibri"/>
          <w:i w:val="0"/>
          <w:sz w:val="20"/>
          <w:szCs w:val="20"/>
        </w:rPr>
        <w:t>tuition</w:t>
      </w:r>
      <w:r w:rsidR="009B67AA">
        <w:rPr>
          <w:rFonts w:ascii="Calibri" w:hAnsi="Calibri"/>
          <w:i w:val="0"/>
          <w:sz w:val="20"/>
          <w:szCs w:val="20"/>
        </w:rPr>
        <w:t xml:space="preserve"> waivers. </w:t>
      </w:r>
      <w:r w:rsidR="00D22FD4">
        <w:rPr>
          <w:rFonts w:ascii="Calibri" w:hAnsi="Calibri"/>
          <w:i w:val="0"/>
          <w:sz w:val="20"/>
          <w:szCs w:val="20"/>
        </w:rPr>
        <w:t xml:space="preserve"> These purposes are identified as: </w:t>
      </w:r>
    </w:p>
    <w:p w:rsidR="00D22FD4" w:rsidRPr="00BF51AE" w:rsidRDefault="00D22FD4" w:rsidP="00BF51AE">
      <w:pPr>
        <w:pStyle w:val="IBSubheading2"/>
        <w:ind w:firstLine="0"/>
        <w:rPr>
          <w:rFonts w:ascii="Calibri" w:hAnsi="Calibri"/>
          <w:b/>
          <w:i w:val="0"/>
          <w:sz w:val="20"/>
          <w:szCs w:val="20"/>
        </w:rPr>
      </w:pPr>
    </w:p>
    <w:p w:rsidR="00BF51AE" w:rsidRPr="00BF51AE" w:rsidRDefault="00BF51AE" w:rsidP="00BF51AE">
      <w:pPr>
        <w:pStyle w:val="IBSubheading2"/>
        <w:numPr>
          <w:ilvl w:val="0"/>
          <w:numId w:val="10"/>
        </w:numPr>
        <w:rPr>
          <w:rFonts w:ascii="Calibri" w:hAnsi="Calibri"/>
          <w:b/>
          <w:i w:val="0"/>
          <w:sz w:val="20"/>
          <w:szCs w:val="20"/>
        </w:rPr>
      </w:pPr>
      <w:r w:rsidRPr="00BF51AE">
        <w:rPr>
          <w:rFonts w:ascii="Calibri" w:hAnsi="Calibri"/>
          <w:i w:val="0"/>
          <w:sz w:val="20"/>
          <w:szCs w:val="20"/>
        </w:rPr>
        <w:t>Enhance educational opportunities for Utah residents</w:t>
      </w:r>
    </w:p>
    <w:p w:rsidR="00BF51AE" w:rsidRPr="00BF51AE" w:rsidRDefault="00BF51AE" w:rsidP="00BF51AE">
      <w:pPr>
        <w:pStyle w:val="IBSubheading2"/>
        <w:numPr>
          <w:ilvl w:val="0"/>
          <w:numId w:val="10"/>
        </w:numPr>
        <w:rPr>
          <w:rFonts w:ascii="Calibri" w:hAnsi="Calibri"/>
          <w:b/>
          <w:i w:val="0"/>
          <w:sz w:val="20"/>
          <w:szCs w:val="20"/>
        </w:rPr>
      </w:pPr>
      <w:r w:rsidRPr="00BF51AE">
        <w:rPr>
          <w:rFonts w:ascii="Calibri" w:hAnsi="Calibri"/>
          <w:i w:val="0"/>
          <w:sz w:val="20"/>
          <w:szCs w:val="20"/>
        </w:rPr>
        <w:t>Promote mutually beneficial cooperation and development of Utah communities and nearby communities in ne</w:t>
      </w:r>
      <w:r w:rsidR="00693D73">
        <w:rPr>
          <w:rFonts w:ascii="Calibri" w:hAnsi="Calibri"/>
          <w:i w:val="0"/>
          <w:sz w:val="20"/>
          <w:szCs w:val="20"/>
        </w:rPr>
        <w:t>ighboring</w:t>
      </w:r>
      <w:r w:rsidRPr="00BF51AE">
        <w:rPr>
          <w:rFonts w:ascii="Calibri" w:hAnsi="Calibri"/>
          <w:i w:val="0"/>
          <w:sz w:val="20"/>
          <w:szCs w:val="20"/>
        </w:rPr>
        <w:t xml:space="preserve"> states</w:t>
      </w:r>
    </w:p>
    <w:p w:rsidR="00BF51AE" w:rsidRPr="00BF51AE" w:rsidRDefault="00BF51AE" w:rsidP="00BF51AE">
      <w:pPr>
        <w:pStyle w:val="IBSubheading2"/>
        <w:numPr>
          <w:ilvl w:val="0"/>
          <w:numId w:val="10"/>
        </w:numPr>
        <w:rPr>
          <w:rFonts w:ascii="Calibri" w:hAnsi="Calibri"/>
          <w:b/>
          <w:i w:val="0"/>
          <w:sz w:val="20"/>
          <w:szCs w:val="20"/>
        </w:rPr>
      </w:pPr>
      <w:r w:rsidRPr="00BF51AE">
        <w:rPr>
          <w:rFonts w:ascii="Calibri" w:hAnsi="Calibri"/>
          <w:i w:val="0"/>
          <w:sz w:val="20"/>
          <w:szCs w:val="20"/>
        </w:rPr>
        <w:t>Contribute to the quality and desirable cultural diversity of educational programs</w:t>
      </w:r>
    </w:p>
    <w:p w:rsidR="00BF51AE" w:rsidRPr="00BF51AE" w:rsidRDefault="00BF51AE" w:rsidP="00BF51AE">
      <w:pPr>
        <w:pStyle w:val="IBSubheading2"/>
        <w:numPr>
          <w:ilvl w:val="0"/>
          <w:numId w:val="10"/>
        </w:numPr>
        <w:rPr>
          <w:rFonts w:ascii="Calibri" w:hAnsi="Calibri"/>
          <w:b/>
          <w:i w:val="0"/>
          <w:sz w:val="20"/>
          <w:szCs w:val="20"/>
        </w:rPr>
      </w:pPr>
      <w:r w:rsidRPr="00BF51AE">
        <w:rPr>
          <w:rFonts w:ascii="Calibri" w:hAnsi="Calibri"/>
          <w:i w:val="0"/>
          <w:sz w:val="20"/>
          <w:szCs w:val="20"/>
        </w:rPr>
        <w:t>Assist in maintaining an adequate level of service and related cost-effectiveness of auxiliary operations</w:t>
      </w:r>
    </w:p>
    <w:p w:rsidR="00BF51AE" w:rsidRPr="00BF51AE" w:rsidRDefault="00BF51AE" w:rsidP="00BF51AE">
      <w:pPr>
        <w:pStyle w:val="IBSubheading2"/>
        <w:numPr>
          <w:ilvl w:val="0"/>
          <w:numId w:val="10"/>
        </w:numPr>
        <w:rPr>
          <w:rFonts w:ascii="Calibri" w:hAnsi="Calibri"/>
          <w:b/>
          <w:i w:val="0"/>
          <w:sz w:val="20"/>
          <w:szCs w:val="20"/>
        </w:rPr>
      </w:pPr>
      <w:r w:rsidRPr="00BF51AE">
        <w:rPr>
          <w:rFonts w:ascii="Calibri" w:hAnsi="Calibri"/>
          <w:i w:val="0"/>
          <w:sz w:val="20"/>
          <w:szCs w:val="20"/>
        </w:rPr>
        <w:t>Promote enrollment of non-resident students with high academic aptitudes</w:t>
      </w:r>
    </w:p>
    <w:p w:rsidR="00BF51AE" w:rsidRPr="00BF51AE" w:rsidRDefault="00BF51AE" w:rsidP="00BF51AE">
      <w:pPr>
        <w:pStyle w:val="IBSubheading2"/>
        <w:numPr>
          <w:ilvl w:val="0"/>
          <w:numId w:val="10"/>
        </w:numPr>
        <w:rPr>
          <w:rFonts w:ascii="Calibri" w:hAnsi="Calibri"/>
          <w:b/>
          <w:i w:val="0"/>
          <w:sz w:val="20"/>
          <w:szCs w:val="20"/>
        </w:rPr>
      </w:pPr>
      <w:r w:rsidRPr="00BF51AE">
        <w:rPr>
          <w:rFonts w:ascii="Calibri" w:hAnsi="Calibri"/>
          <w:i w:val="0"/>
          <w:sz w:val="20"/>
          <w:szCs w:val="20"/>
        </w:rPr>
        <w:t>Recognize legacy of past graduates and continued connection to their alma mater</w:t>
      </w:r>
    </w:p>
    <w:p w:rsidR="007D73CB" w:rsidRPr="00BF51AE" w:rsidRDefault="007D73CB" w:rsidP="00EE12CB">
      <w:pPr>
        <w:pStyle w:val="p9"/>
        <w:rPr>
          <w:rFonts w:ascii="Calibri" w:hAnsi="Calibri"/>
          <w:sz w:val="20"/>
          <w:szCs w:val="20"/>
        </w:rPr>
      </w:pPr>
    </w:p>
    <w:p w:rsidR="009B67AA" w:rsidRPr="009B67AA" w:rsidRDefault="009B67AA" w:rsidP="009B67AA">
      <w:pPr>
        <w:pStyle w:val="IBSubheading2"/>
        <w:ind w:firstLine="0"/>
        <w:rPr>
          <w:rFonts w:ascii="Calibri" w:hAnsi="Calibri"/>
          <w:b/>
          <w:i w:val="0"/>
          <w:sz w:val="20"/>
          <w:szCs w:val="20"/>
        </w:rPr>
      </w:pPr>
      <w:r w:rsidRPr="009B67AA">
        <w:rPr>
          <w:rFonts w:ascii="Calibri" w:hAnsi="Calibri"/>
          <w:i w:val="0"/>
          <w:sz w:val="20"/>
          <w:szCs w:val="20"/>
        </w:rPr>
        <w:t>For the purpose of this issue brief</w:t>
      </w:r>
      <w:r w:rsidR="002C359C">
        <w:rPr>
          <w:rFonts w:ascii="Calibri" w:hAnsi="Calibri"/>
          <w:i w:val="0"/>
          <w:sz w:val="20"/>
          <w:szCs w:val="20"/>
        </w:rPr>
        <w:t>,</w:t>
      </w:r>
      <w:r w:rsidRPr="009B67AA">
        <w:rPr>
          <w:rFonts w:ascii="Calibri" w:hAnsi="Calibri"/>
          <w:i w:val="0"/>
          <w:sz w:val="20"/>
          <w:szCs w:val="20"/>
        </w:rPr>
        <w:t xml:space="preserve"> the tuition waivers have been categorized in the following manner:</w:t>
      </w:r>
    </w:p>
    <w:p w:rsidR="009B67AA" w:rsidRPr="009B67AA" w:rsidRDefault="009B67AA" w:rsidP="009B67AA">
      <w:pPr>
        <w:pStyle w:val="IBSubheading2"/>
        <w:numPr>
          <w:ilvl w:val="0"/>
          <w:numId w:val="11"/>
        </w:numPr>
        <w:rPr>
          <w:rFonts w:ascii="Calibri" w:hAnsi="Calibri"/>
          <w:b/>
          <w:i w:val="0"/>
          <w:sz w:val="20"/>
          <w:szCs w:val="20"/>
        </w:rPr>
      </w:pPr>
      <w:r w:rsidRPr="009B67AA">
        <w:rPr>
          <w:rFonts w:ascii="Calibri" w:hAnsi="Calibri"/>
          <w:i w:val="0"/>
          <w:sz w:val="20"/>
          <w:szCs w:val="20"/>
        </w:rPr>
        <w:t>Discretionary resident waivers</w:t>
      </w:r>
    </w:p>
    <w:p w:rsidR="009B67AA" w:rsidRPr="009B67AA" w:rsidRDefault="009B67AA" w:rsidP="009B67AA">
      <w:pPr>
        <w:pStyle w:val="IBSubheading2"/>
        <w:numPr>
          <w:ilvl w:val="0"/>
          <w:numId w:val="11"/>
        </w:numPr>
        <w:rPr>
          <w:rFonts w:ascii="Calibri" w:hAnsi="Calibri"/>
          <w:b/>
          <w:i w:val="0"/>
          <w:sz w:val="20"/>
          <w:szCs w:val="20"/>
        </w:rPr>
      </w:pPr>
      <w:r w:rsidRPr="009B67AA">
        <w:rPr>
          <w:rFonts w:ascii="Calibri" w:hAnsi="Calibri"/>
          <w:i w:val="0"/>
          <w:sz w:val="20"/>
          <w:szCs w:val="20"/>
        </w:rPr>
        <w:t>Discretionary non-resident waivers</w:t>
      </w:r>
    </w:p>
    <w:p w:rsidR="009B67AA" w:rsidRPr="009B67AA" w:rsidRDefault="009B67AA" w:rsidP="009B67AA">
      <w:pPr>
        <w:pStyle w:val="IBSubheading2"/>
        <w:numPr>
          <w:ilvl w:val="0"/>
          <w:numId w:val="11"/>
        </w:numPr>
        <w:rPr>
          <w:rFonts w:ascii="Calibri" w:hAnsi="Calibri"/>
          <w:b/>
          <w:i w:val="0"/>
          <w:sz w:val="20"/>
          <w:szCs w:val="20"/>
        </w:rPr>
      </w:pPr>
      <w:r w:rsidRPr="009B67AA">
        <w:rPr>
          <w:rFonts w:ascii="Calibri" w:hAnsi="Calibri"/>
          <w:i w:val="0"/>
          <w:sz w:val="20"/>
          <w:szCs w:val="20"/>
        </w:rPr>
        <w:t>Reciprocal partnership waivers</w:t>
      </w:r>
    </w:p>
    <w:p w:rsidR="009B67AA" w:rsidRPr="009B67AA" w:rsidRDefault="009B67AA" w:rsidP="009B67AA">
      <w:pPr>
        <w:pStyle w:val="IBSubheading2"/>
        <w:numPr>
          <w:ilvl w:val="0"/>
          <w:numId w:val="11"/>
        </w:numPr>
        <w:rPr>
          <w:rFonts w:ascii="Calibri" w:hAnsi="Calibri"/>
          <w:b/>
          <w:i w:val="0"/>
          <w:sz w:val="20"/>
          <w:szCs w:val="20"/>
        </w:rPr>
      </w:pPr>
      <w:r w:rsidRPr="009B67AA">
        <w:rPr>
          <w:rFonts w:ascii="Calibri" w:hAnsi="Calibri"/>
          <w:i w:val="0"/>
          <w:sz w:val="20"/>
          <w:szCs w:val="20"/>
        </w:rPr>
        <w:t>Targeted waivers</w:t>
      </w:r>
    </w:p>
    <w:p w:rsidR="009B67AA" w:rsidRPr="009B67AA" w:rsidRDefault="009B67AA" w:rsidP="009B67AA">
      <w:pPr>
        <w:pStyle w:val="IBSubheading2"/>
        <w:numPr>
          <w:ilvl w:val="0"/>
          <w:numId w:val="11"/>
        </w:numPr>
        <w:rPr>
          <w:rFonts w:ascii="Calibri" w:hAnsi="Calibri"/>
          <w:b/>
          <w:i w:val="0"/>
          <w:sz w:val="20"/>
          <w:szCs w:val="20"/>
        </w:rPr>
      </w:pPr>
      <w:r w:rsidRPr="009B67AA">
        <w:rPr>
          <w:rFonts w:ascii="Calibri" w:hAnsi="Calibri"/>
          <w:i w:val="0"/>
          <w:sz w:val="20"/>
          <w:szCs w:val="20"/>
        </w:rPr>
        <w:t>Entitlement waivers</w:t>
      </w:r>
    </w:p>
    <w:p w:rsidR="009B67AA" w:rsidRPr="009B67AA" w:rsidRDefault="009B67AA" w:rsidP="009B67AA">
      <w:pPr>
        <w:pStyle w:val="IBSubheading2"/>
        <w:rPr>
          <w:rFonts w:ascii="Calibri" w:hAnsi="Calibri"/>
          <w:b/>
          <w:i w:val="0"/>
          <w:sz w:val="20"/>
          <w:szCs w:val="20"/>
        </w:rPr>
      </w:pPr>
    </w:p>
    <w:p w:rsidR="009B67AA" w:rsidRPr="009B67AA" w:rsidRDefault="009B67AA" w:rsidP="009B67AA">
      <w:pPr>
        <w:pStyle w:val="IBSubheading2"/>
        <w:ind w:firstLine="0"/>
        <w:rPr>
          <w:rFonts w:ascii="Calibri" w:hAnsi="Calibri"/>
          <w:b/>
          <w:i w:val="0"/>
          <w:sz w:val="20"/>
          <w:szCs w:val="20"/>
        </w:rPr>
      </w:pPr>
      <w:r w:rsidRPr="009B67AA">
        <w:rPr>
          <w:rFonts w:ascii="Calibri" w:hAnsi="Calibri"/>
          <w:i w:val="0"/>
          <w:sz w:val="20"/>
          <w:szCs w:val="20"/>
        </w:rPr>
        <w:t xml:space="preserve">In </w:t>
      </w:r>
      <w:r w:rsidR="00BA1C80">
        <w:rPr>
          <w:rFonts w:ascii="Calibri" w:hAnsi="Calibri"/>
          <w:i w:val="0"/>
          <w:sz w:val="20"/>
          <w:szCs w:val="20"/>
        </w:rPr>
        <w:t xml:space="preserve">FY </w:t>
      </w:r>
      <w:r w:rsidRPr="009B67AA">
        <w:rPr>
          <w:rFonts w:ascii="Calibri" w:hAnsi="Calibri"/>
          <w:i w:val="0"/>
          <w:sz w:val="20"/>
          <w:szCs w:val="20"/>
        </w:rPr>
        <w:t xml:space="preserve">2015-16, USHE institutions provided over $125 million in tuition waivers.  Of those dollars waived, $43 million was waived on behalf of resident students and $82 million on behalf of non-resident students.  The </w:t>
      </w:r>
      <w:r w:rsidR="00E456DD">
        <w:rPr>
          <w:rFonts w:ascii="Calibri" w:hAnsi="Calibri"/>
          <w:i w:val="0"/>
          <w:sz w:val="20"/>
          <w:szCs w:val="20"/>
        </w:rPr>
        <w:t xml:space="preserve">following </w:t>
      </w:r>
      <w:r w:rsidRPr="009B67AA">
        <w:rPr>
          <w:rFonts w:ascii="Calibri" w:hAnsi="Calibri"/>
          <w:i w:val="0"/>
          <w:sz w:val="20"/>
          <w:szCs w:val="20"/>
        </w:rPr>
        <w:t>chart</w:t>
      </w:r>
      <w:r w:rsidR="00E456DD">
        <w:rPr>
          <w:rFonts w:ascii="Calibri" w:hAnsi="Calibri"/>
          <w:i w:val="0"/>
          <w:sz w:val="20"/>
          <w:szCs w:val="20"/>
        </w:rPr>
        <w:t>s</w:t>
      </w:r>
      <w:r w:rsidRPr="009B67AA">
        <w:rPr>
          <w:rFonts w:ascii="Calibri" w:hAnsi="Calibri"/>
          <w:i w:val="0"/>
          <w:sz w:val="20"/>
          <w:szCs w:val="20"/>
        </w:rPr>
        <w:t xml:space="preserve"> </w:t>
      </w:r>
      <w:r w:rsidR="00E456DD">
        <w:rPr>
          <w:rFonts w:ascii="Calibri" w:hAnsi="Calibri"/>
          <w:i w:val="0"/>
          <w:sz w:val="20"/>
          <w:szCs w:val="20"/>
        </w:rPr>
        <w:t xml:space="preserve">show </w:t>
      </w:r>
      <w:r w:rsidRPr="009B67AA">
        <w:rPr>
          <w:rFonts w:ascii="Calibri" w:hAnsi="Calibri"/>
          <w:i w:val="0"/>
          <w:sz w:val="20"/>
          <w:szCs w:val="20"/>
        </w:rPr>
        <w:t xml:space="preserve">the distribution of </w:t>
      </w:r>
      <w:r w:rsidR="00E456DD">
        <w:rPr>
          <w:rFonts w:ascii="Calibri" w:hAnsi="Calibri"/>
          <w:i w:val="0"/>
          <w:sz w:val="20"/>
          <w:szCs w:val="20"/>
        </w:rPr>
        <w:t>tuition</w:t>
      </w:r>
      <w:r w:rsidRPr="009B67AA">
        <w:rPr>
          <w:rFonts w:ascii="Calibri" w:hAnsi="Calibri"/>
          <w:i w:val="0"/>
          <w:sz w:val="20"/>
          <w:szCs w:val="20"/>
        </w:rPr>
        <w:t xml:space="preserve"> waivers</w:t>
      </w:r>
      <w:r w:rsidR="00E456DD">
        <w:rPr>
          <w:rFonts w:ascii="Calibri" w:hAnsi="Calibri"/>
          <w:i w:val="0"/>
          <w:sz w:val="20"/>
          <w:szCs w:val="20"/>
        </w:rPr>
        <w:t xml:space="preserve"> used in FY 2015-16 </w:t>
      </w:r>
      <w:r w:rsidRPr="009B67AA">
        <w:rPr>
          <w:rFonts w:ascii="Calibri" w:hAnsi="Calibri"/>
          <w:i w:val="0"/>
          <w:sz w:val="20"/>
          <w:szCs w:val="20"/>
        </w:rPr>
        <w:t xml:space="preserve">according to the categories identified above. </w:t>
      </w:r>
    </w:p>
    <w:p w:rsidR="009B67AA" w:rsidRDefault="009B67AA" w:rsidP="009B67AA">
      <w:pPr>
        <w:pStyle w:val="IBSubheading2"/>
        <w:rPr>
          <w:rFonts w:asciiTheme="minorHAnsi" w:hAnsiTheme="minorHAnsi"/>
          <w:b/>
          <w:i w:val="0"/>
        </w:rPr>
      </w:pPr>
    </w:p>
    <w:p w:rsidR="009B67AA" w:rsidRDefault="009B67AA" w:rsidP="000C7E78">
      <w:pPr>
        <w:pStyle w:val="IBSubheading2"/>
        <w:jc w:val="center"/>
        <w:rPr>
          <w:rFonts w:asciiTheme="minorHAnsi" w:hAnsiTheme="minorHAnsi"/>
          <w:i w:val="0"/>
        </w:rPr>
      </w:pPr>
      <w:r>
        <w:rPr>
          <w:noProof/>
        </w:rPr>
        <w:drawing>
          <wp:inline distT="0" distB="0" distL="0" distR="0" wp14:anchorId="522C2DD8" wp14:editId="03E7A34B">
            <wp:extent cx="5349240" cy="3457575"/>
            <wp:effectExtent l="0" t="0" r="381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B67AA" w:rsidRDefault="009B67AA" w:rsidP="009B67AA">
      <w:pPr>
        <w:pStyle w:val="IBSubheading2"/>
        <w:rPr>
          <w:rFonts w:asciiTheme="minorHAnsi" w:hAnsiTheme="minorHAnsi"/>
          <w:i w:val="0"/>
        </w:rPr>
      </w:pPr>
    </w:p>
    <w:p w:rsidR="009B67AA" w:rsidRDefault="009B67AA" w:rsidP="009B67AA">
      <w:pPr>
        <w:pStyle w:val="IBSubheading2"/>
        <w:rPr>
          <w:rFonts w:asciiTheme="minorHAnsi" w:hAnsiTheme="minorHAnsi"/>
          <w:i w:val="0"/>
        </w:rPr>
      </w:pPr>
    </w:p>
    <w:p w:rsidR="009B67AA" w:rsidRDefault="009B67AA" w:rsidP="009B67AA">
      <w:pPr>
        <w:pStyle w:val="p9"/>
        <w:rPr>
          <w:rFonts w:asciiTheme="minorHAnsi" w:hAnsiTheme="minorHAnsi"/>
          <w:sz w:val="20"/>
          <w:szCs w:val="20"/>
        </w:rPr>
      </w:pPr>
      <w:r>
        <w:rPr>
          <w:noProof/>
        </w:rPr>
        <w:drawing>
          <wp:inline distT="0" distB="0" distL="0" distR="0" wp14:anchorId="68703655" wp14:editId="33E13CA9">
            <wp:extent cx="5943600" cy="3808095"/>
            <wp:effectExtent l="0" t="0" r="0" b="190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F51AE" w:rsidRPr="00337E76" w:rsidRDefault="00BF51AE" w:rsidP="00EE12CB">
      <w:pPr>
        <w:pStyle w:val="p9"/>
        <w:rPr>
          <w:rFonts w:asciiTheme="minorHAnsi" w:hAnsiTheme="minorHAnsi"/>
          <w:sz w:val="20"/>
          <w:szCs w:val="20"/>
        </w:rPr>
      </w:pPr>
    </w:p>
    <w:p w:rsidR="00CB2E4B" w:rsidRPr="003D6626" w:rsidRDefault="009B67AA" w:rsidP="00CB2E4B">
      <w:pPr>
        <w:pStyle w:val="IBSubheading2"/>
      </w:pPr>
      <w:r>
        <w:t>Discretionary Tuition Waivers</w:t>
      </w:r>
    </w:p>
    <w:p w:rsidR="009B67AA" w:rsidRDefault="009B67AA" w:rsidP="009B67AA">
      <w:pPr>
        <w:pStyle w:val="IBSubheading2"/>
        <w:ind w:firstLine="0"/>
        <w:rPr>
          <w:rFonts w:ascii="Calibri" w:hAnsi="Calibri"/>
          <w:i w:val="0"/>
          <w:sz w:val="20"/>
          <w:szCs w:val="20"/>
        </w:rPr>
      </w:pPr>
    </w:p>
    <w:p w:rsidR="009B67AA" w:rsidRPr="009B67AA" w:rsidRDefault="009B67AA" w:rsidP="009B67AA">
      <w:pPr>
        <w:pStyle w:val="IBSubheading2"/>
        <w:ind w:firstLine="0"/>
        <w:rPr>
          <w:rFonts w:ascii="Calibri" w:hAnsi="Calibri"/>
          <w:b/>
          <w:i w:val="0"/>
          <w:sz w:val="20"/>
          <w:szCs w:val="20"/>
        </w:rPr>
      </w:pPr>
      <w:r>
        <w:rPr>
          <w:rFonts w:ascii="Calibri" w:hAnsi="Calibri"/>
          <w:i w:val="0"/>
          <w:sz w:val="20"/>
          <w:szCs w:val="20"/>
        </w:rPr>
        <w:t xml:space="preserve">The most utilized type of tuition waivers are the discretionary tuition waivers.  The Utah State Legislature </w:t>
      </w:r>
      <w:r w:rsidR="00BA1C80">
        <w:rPr>
          <w:rFonts w:ascii="Calibri" w:hAnsi="Calibri"/>
          <w:i w:val="0"/>
          <w:sz w:val="20"/>
          <w:szCs w:val="20"/>
        </w:rPr>
        <w:t>h</w:t>
      </w:r>
      <w:r>
        <w:rPr>
          <w:rFonts w:ascii="Calibri" w:hAnsi="Calibri"/>
          <w:i w:val="0"/>
          <w:sz w:val="20"/>
          <w:szCs w:val="20"/>
        </w:rPr>
        <w:t xml:space="preserve">as provided authorization to the </w:t>
      </w:r>
      <w:r w:rsidRPr="009B67AA">
        <w:rPr>
          <w:rFonts w:ascii="Calibri" w:hAnsi="Calibri"/>
          <w:i w:val="0"/>
          <w:sz w:val="20"/>
          <w:szCs w:val="20"/>
        </w:rPr>
        <w:t>Board and USHE presidents to award full or partial tuition waivers (at their discretion) for residents and non-residents based on merit and</w:t>
      </w:r>
      <w:r w:rsidR="00E456DD">
        <w:rPr>
          <w:rFonts w:ascii="Calibri" w:hAnsi="Calibri"/>
          <w:i w:val="0"/>
          <w:sz w:val="20"/>
          <w:szCs w:val="20"/>
        </w:rPr>
        <w:t>/or</w:t>
      </w:r>
      <w:r w:rsidRPr="009B67AA">
        <w:rPr>
          <w:rFonts w:ascii="Calibri" w:hAnsi="Calibri"/>
          <w:i w:val="0"/>
          <w:sz w:val="20"/>
          <w:szCs w:val="20"/>
        </w:rPr>
        <w:t xml:space="preserve"> financial need.  In the case of non-residents that authority has been extended to include an alumni connection or athlete status. In FY</w:t>
      </w:r>
      <w:r w:rsidR="00BA1C80">
        <w:rPr>
          <w:rFonts w:ascii="Calibri" w:hAnsi="Calibri"/>
          <w:i w:val="0"/>
          <w:sz w:val="20"/>
          <w:szCs w:val="20"/>
        </w:rPr>
        <w:t xml:space="preserve"> 2015-</w:t>
      </w:r>
      <w:r w:rsidRPr="009B67AA">
        <w:rPr>
          <w:rFonts w:ascii="Calibri" w:hAnsi="Calibri"/>
          <w:i w:val="0"/>
          <w:sz w:val="20"/>
          <w:szCs w:val="20"/>
        </w:rPr>
        <w:t>16, USHE institutions waived approximately $104 million in tuition on behalf of students</w:t>
      </w:r>
      <w:r w:rsidR="002C359C">
        <w:rPr>
          <w:rFonts w:ascii="Calibri" w:hAnsi="Calibri"/>
          <w:i w:val="0"/>
          <w:sz w:val="20"/>
          <w:szCs w:val="20"/>
        </w:rPr>
        <w:t xml:space="preserve"> through discretionary tuition waivers</w:t>
      </w:r>
      <w:r w:rsidRPr="009B67AA">
        <w:rPr>
          <w:rFonts w:ascii="Calibri" w:hAnsi="Calibri"/>
          <w:i w:val="0"/>
          <w:sz w:val="20"/>
          <w:szCs w:val="20"/>
        </w:rPr>
        <w:t xml:space="preserve">.  This represents 82.5% of waivers awarded in </w:t>
      </w:r>
      <w:r w:rsidR="00BA1C80">
        <w:rPr>
          <w:rFonts w:ascii="Calibri" w:hAnsi="Calibri"/>
          <w:i w:val="0"/>
          <w:sz w:val="20"/>
          <w:szCs w:val="20"/>
        </w:rPr>
        <w:t>FY 2015-</w:t>
      </w:r>
      <w:r w:rsidRPr="009B67AA">
        <w:rPr>
          <w:rFonts w:ascii="Calibri" w:hAnsi="Calibri"/>
          <w:i w:val="0"/>
          <w:sz w:val="20"/>
          <w:szCs w:val="20"/>
        </w:rPr>
        <w:t>16.</w:t>
      </w:r>
    </w:p>
    <w:p w:rsidR="009B67AA" w:rsidRPr="009B67AA" w:rsidRDefault="009B67AA" w:rsidP="009B67AA">
      <w:pPr>
        <w:pStyle w:val="IBSubheading2"/>
        <w:rPr>
          <w:rFonts w:ascii="Calibri" w:hAnsi="Calibri"/>
          <w:b/>
          <w:i w:val="0"/>
          <w:sz w:val="20"/>
          <w:szCs w:val="20"/>
        </w:rPr>
      </w:pPr>
    </w:p>
    <w:p w:rsidR="009B67AA" w:rsidRPr="009B67AA" w:rsidRDefault="009B67AA" w:rsidP="009B67AA">
      <w:pPr>
        <w:pStyle w:val="IBSubheading2"/>
        <w:rPr>
          <w:rFonts w:ascii="Calibri" w:hAnsi="Calibri"/>
          <w:b/>
          <w:i w:val="0"/>
          <w:sz w:val="20"/>
          <w:szCs w:val="20"/>
        </w:rPr>
      </w:pPr>
      <w:r w:rsidRPr="009B67AA">
        <w:rPr>
          <w:rFonts w:ascii="Calibri" w:hAnsi="Calibri"/>
          <w:i w:val="0"/>
          <w:sz w:val="20"/>
          <w:szCs w:val="20"/>
        </w:rPr>
        <w:t>Waivers included in this category include:</w:t>
      </w:r>
    </w:p>
    <w:p w:rsidR="009B67AA" w:rsidRPr="009B67AA" w:rsidRDefault="009B67AA" w:rsidP="009B67AA">
      <w:pPr>
        <w:pStyle w:val="IBSubheading2"/>
        <w:numPr>
          <w:ilvl w:val="0"/>
          <w:numId w:val="12"/>
        </w:numPr>
        <w:rPr>
          <w:rFonts w:ascii="Calibri" w:hAnsi="Calibri"/>
          <w:b/>
          <w:i w:val="0"/>
          <w:sz w:val="20"/>
          <w:szCs w:val="20"/>
        </w:rPr>
      </w:pPr>
      <w:r w:rsidRPr="009B67AA">
        <w:rPr>
          <w:rFonts w:ascii="Calibri" w:hAnsi="Calibri"/>
          <w:i w:val="0"/>
          <w:sz w:val="20"/>
          <w:szCs w:val="20"/>
        </w:rPr>
        <w:t>10% resident waivers</w:t>
      </w:r>
    </w:p>
    <w:p w:rsidR="009B67AA" w:rsidRPr="009B67AA" w:rsidRDefault="009B67AA" w:rsidP="009B67AA">
      <w:pPr>
        <w:pStyle w:val="IBSubheading2"/>
        <w:numPr>
          <w:ilvl w:val="0"/>
          <w:numId w:val="12"/>
        </w:numPr>
        <w:rPr>
          <w:rFonts w:ascii="Calibri" w:hAnsi="Calibri"/>
          <w:b/>
          <w:i w:val="0"/>
          <w:sz w:val="20"/>
          <w:szCs w:val="20"/>
        </w:rPr>
      </w:pPr>
      <w:r w:rsidRPr="009B67AA">
        <w:rPr>
          <w:rFonts w:ascii="Calibri" w:hAnsi="Calibri"/>
          <w:i w:val="0"/>
          <w:sz w:val="20"/>
          <w:szCs w:val="20"/>
        </w:rPr>
        <w:t>Non-resident meritorious undergraduate waivers</w:t>
      </w:r>
    </w:p>
    <w:p w:rsidR="009B67AA" w:rsidRPr="009B67AA" w:rsidRDefault="009B67AA" w:rsidP="009B67AA">
      <w:pPr>
        <w:pStyle w:val="IBSubheading2"/>
        <w:numPr>
          <w:ilvl w:val="0"/>
          <w:numId w:val="12"/>
        </w:numPr>
        <w:rPr>
          <w:rFonts w:ascii="Calibri" w:hAnsi="Calibri"/>
          <w:b/>
          <w:i w:val="0"/>
          <w:sz w:val="20"/>
          <w:szCs w:val="20"/>
        </w:rPr>
      </w:pPr>
      <w:r w:rsidRPr="009B67AA">
        <w:rPr>
          <w:rFonts w:ascii="Calibri" w:hAnsi="Calibri"/>
          <w:i w:val="0"/>
          <w:sz w:val="20"/>
          <w:szCs w:val="20"/>
        </w:rPr>
        <w:t>Non-resident meritorious graduate waivers</w:t>
      </w:r>
    </w:p>
    <w:p w:rsidR="009B67AA" w:rsidRPr="009B67AA" w:rsidRDefault="009B67AA" w:rsidP="009B67AA">
      <w:pPr>
        <w:pStyle w:val="IBSubheading2"/>
        <w:numPr>
          <w:ilvl w:val="0"/>
          <w:numId w:val="12"/>
        </w:numPr>
        <w:rPr>
          <w:rFonts w:ascii="Calibri" w:hAnsi="Calibri"/>
          <w:b/>
          <w:i w:val="0"/>
          <w:sz w:val="20"/>
          <w:szCs w:val="20"/>
        </w:rPr>
      </w:pPr>
      <w:r w:rsidRPr="009B67AA">
        <w:rPr>
          <w:rFonts w:ascii="Calibri" w:hAnsi="Calibri"/>
          <w:i w:val="0"/>
          <w:sz w:val="20"/>
          <w:szCs w:val="20"/>
        </w:rPr>
        <w:t>Non-resident summer tuition waivers (not currently tracked)</w:t>
      </w:r>
    </w:p>
    <w:p w:rsidR="009B67AA" w:rsidRPr="009B67AA" w:rsidRDefault="009B67AA" w:rsidP="009B67AA">
      <w:pPr>
        <w:pStyle w:val="IBSubheading2"/>
        <w:numPr>
          <w:ilvl w:val="0"/>
          <w:numId w:val="12"/>
        </w:numPr>
        <w:rPr>
          <w:rFonts w:ascii="Calibri" w:hAnsi="Calibri"/>
          <w:b/>
          <w:i w:val="0"/>
          <w:sz w:val="20"/>
          <w:szCs w:val="20"/>
        </w:rPr>
      </w:pPr>
      <w:r w:rsidRPr="009B67AA">
        <w:rPr>
          <w:rFonts w:ascii="Calibri" w:hAnsi="Calibri"/>
          <w:i w:val="0"/>
          <w:sz w:val="20"/>
          <w:szCs w:val="20"/>
        </w:rPr>
        <w:t>Non-resident transition waivers</w:t>
      </w:r>
    </w:p>
    <w:p w:rsidR="009B67AA" w:rsidRPr="009B67AA" w:rsidRDefault="009B67AA" w:rsidP="009B67AA">
      <w:pPr>
        <w:pStyle w:val="IBSubheading2"/>
        <w:numPr>
          <w:ilvl w:val="0"/>
          <w:numId w:val="12"/>
        </w:numPr>
        <w:rPr>
          <w:rFonts w:ascii="Calibri" w:hAnsi="Calibri"/>
          <w:b/>
          <w:i w:val="0"/>
          <w:sz w:val="20"/>
          <w:szCs w:val="20"/>
        </w:rPr>
      </w:pPr>
      <w:r w:rsidRPr="009B67AA">
        <w:rPr>
          <w:rFonts w:ascii="Calibri" w:hAnsi="Calibri"/>
          <w:i w:val="0"/>
          <w:sz w:val="20"/>
          <w:szCs w:val="20"/>
        </w:rPr>
        <w:t>Legacy alumni waivers</w:t>
      </w:r>
    </w:p>
    <w:p w:rsidR="009B67AA" w:rsidRPr="009B67AA" w:rsidRDefault="009B67AA" w:rsidP="009B67AA">
      <w:pPr>
        <w:pStyle w:val="IBSubheading2"/>
        <w:numPr>
          <w:ilvl w:val="0"/>
          <w:numId w:val="12"/>
        </w:numPr>
        <w:rPr>
          <w:rFonts w:ascii="Calibri" w:hAnsi="Calibri"/>
          <w:b/>
          <w:i w:val="0"/>
          <w:sz w:val="20"/>
          <w:szCs w:val="20"/>
        </w:rPr>
      </w:pPr>
      <w:r w:rsidRPr="009B67AA">
        <w:rPr>
          <w:rFonts w:ascii="Calibri" w:hAnsi="Calibri"/>
          <w:i w:val="0"/>
          <w:sz w:val="20"/>
          <w:szCs w:val="20"/>
        </w:rPr>
        <w:t>Non-resident athlete waivers</w:t>
      </w:r>
    </w:p>
    <w:p w:rsidR="009B67AA" w:rsidRDefault="009B67AA" w:rsidP="009B67AA">
      <w:pPr>
        <w:pStyle w:val="IBSubheading2"/>
        <w:rPr>
          <w:rFonts w:asciiTheme="minorHAnsi" w:hAnsiTheme="minorHAnsi"/>
          <w:b/>
          <w:i w:val="0"/>
          <w:szCs w:val="20"/>
        </w:rPr>
      </w:pPr>
    </w:p>
    <w:p w:rsidR="009B67AA" w:rsidRDefault="009B67AA" w:rsidP="009B67AA">
      <w:pPr>
        <w:pStyle w:val="IBSubheading2"/>
        <w:rPr>
          <w:rFonts w:asciiTheme="minorHAnsi" w:hAnsiTheme="minorHAnsi"/>
          <w:b/>
          <w:i w:val="0"/>
          <w:szCs w:val="20"/>
        </w:rPr>
      </w:pPr>
    </w:p>
    <w:p w:rsidR="009B67AA" w:rsidRDefault="009B67AA" w:rsidP="009B67AA">
      <w:pPr>
        <w:pStyle w:val="IBSubheading2"/>
        <w:rPr>
          <w:rFonts w:asciiTheme="minorHAnsi" w:hAnsiTheme="minorHAnsi"/>
          <w:b/>
          <w:i w:val="0"/>
          <w:szCs w:val="20"/>
        </w:rPr>
      </w:pPr>
    </w:p>
    <w:p w:rsidR="009B67AA" w:rsidRDefault="009B67AA" w:rsidP="009B67AA">
      <w:pPr>
        <w:pStyle w:val="IBSubheading2"/>
        <w:rPr>
          <w:rFonts w:asciiTheme="minorHAnsi" w:hAnsiTheme="minorHAnsi"/>
          <w:b/>
          <w:i w:val="0"/>
          <w:szCs w:val="20"/>
        </w:rPr>
      </w:pPr>
    </w:p>
    <w:p w:rsidR="009B67AA" w:rsidRDefault="009B67AA" w:rsidP="009B67AA">
      <w:pPr>
        <w:pStyle w:val="IBSubheading2"/>
        <w:rPr>
          <w:rFonts w:asciiTheme="minorHAnsi" w:hAnsiTheme="minorHAnsi"/>
          <w:b/>
          <w:i w:val="0"/>
          <w:szCs w:val="20"/>
        </w:rPr>
      </w:pPr>
    </w:p>
    <w:p w:rsidR="009B67AA" w:rsidRPr="009B67AA" w:rsidRDefault="009B67AA" w:rsidP="009B67AA">
      <w:pPr>
        <w:pStyle w:val="IBSubheading2"/>
        <w:rPr>
          <w:b/>
        </w:rPr>
      </w:pPr>
      <w:r w:rsidRPr="009B67AA">
        <w:t>Reciprocal Partnership Waivers</w:t>
      </w:r>
      <w:r w:rsidRPr="009B67AA">
        <w:tab/>
      </w:r>
      <w:r w:rsidRPr="009B67AA">
        <w:tab/>
      </w:r>
      <w:r w:rsidRPr="009B67AA">
        <w:tab/>
      </w:r>
      <w:r w:rsidRPr="009B67AA">
        <w:tab/>
      </w:r>
      <w:r w:rsidRPr="009B67AA">
        <w:tab/>
      </w:r>
      <w:r w:rsidRPr="009B67AA">
        <w:tab/>
      </w:r>
    </w:p>
    <w:p w:rsidR="009B67AA" w:rsidRDefault="009B67AA" w:rsidP="009B67AA">
      <w:pPr>
        <w:pStyle w:val="IBSubheading2"/>
        <w:ind w:firstLine="0"/>
        <w:rPr>
          <w:rFonts w:ascii="Calibri" w:hAnsi="Calibri"/>
          <w:i w:val="0"/>
          <w:sz w:val="20"/>
          <w:szCs w:val="20"/>
        </w:rPr>
      </w:pPr>
    </w:p>
    <w:p w:rsidR="009B67AA" w:rsidRPr="009B67AA" w:rsidRDefault="009B67AA" w:rsidP="009B67AA">
      <w:pPr>
        <w:pStyle w:val="IBSubheading2"/>
        <w:ind w:firstLine="0"/>
        <w:rPr>
          <w:rFonts w:ascii="Calibri" w:hAnsi="Calibri"/>
          <w:b/>
          <w:i w:val="0"/>
          <w:sz w:val="20"/>
          <w:szCs w:val="20"/>
        </w:rPr>
      </w:pPr>
      <w:r w:rsidRPr="009B67AA">
        <w:rPr>
          <w:rFonts w:ascii="Calibri" w:hAnsi="Calibri"/>
          <w:i w:val="0"/>
          <w:sz w:val="20"/>
          <w:szCs w:val="20"/>
        </w:rPr>
        <w:t>Reciprocal partnership waivers are the second most utilized tuition waivers in the system. For FY</w:t>
      </w:r>
      <w:r w:rsidR="00BA1C80">
        <w:rPr>
          <w:rFonts w:ascii="Calibri" w:hAnsi="Calibri"/>
          <w:i w:val="0"/>
          <w:sz w:val="20"/>
          <w:szCs w:val="20"/>
        </w:rPr>
        <w:t xml:space="preserve"> 2015-</w:t>
      </w:r>
      <w:r w:rsidRPr="009B67AA">
        <w:rPr>
          <w:rFonts w:ascii="Calibri" w:hAnsi="Calibri"/>
          <w:i w:val="0"/>
          <w:sz w:val="20"/>
          <w:szCs w:val="20"/>
        </w:rPr>
        <w:t>16</w:t>
      </w:r>
      <w:r w:rsidR="00961649">
        <w:rPr>
          <w:rFonts w:ascii="Calibri" w:hAnsi="Calibri"/>
          <w:i w:val="0"/>
          <w:sz w:val="20"/>
          <w:szCs w:val="20"/>
        </w:rPr>
        <w:t>,</w:t>
      </w:r>
      <w:r w:rsidRPr="009B67AA">
        <w:rPr>
          <w:rFonts w:ascii="Calibri" w:hAnsi="Calibri"/>
          <w:i w:val="0"/>
          <w:sz w:val="20"/>
          <w:szCs w:val="20"/>
        </w:rPr>
        <w:t xml:space="preserve"> over $12 million in tuition waivers were awarded on behalf of students</w:t>
      </w:r>
      <w:r w:rsidR="00961649">
        <w:rPr>
          <w:rFonts w:ascii="Calibri" w:hAnsi="Calibri"/>
          <w:i w:val="0"/>
          <w:sz w:val="20"/>
          <w:szCs w:val="20"/>
        </w:rPr>
        <w:t xml:space="preserve"> through reciprocal partnership waivers</w:t>
      </w:r>
      <w:r w:rsidRPr="009B67AA">
        <w:rPr>
          <w:rFonts w:ascii="Calibri" w:hAnsi="Calibri"/>
          <w:i w:val="0"/>
          <w:sz w:val="20"/>
          <w:szCs w:val="20"/>
        </w:rPr>
        <w:t xml:space="preserve">.  This represents 9.7% of waivers awarded in </w:t>
      </w:r>
      <w:r w:rsidR="00BA1C80">
        <w:rPr>
          <w:rFonts w:ascii="Calibri" w:hAnsi="Calibri"/>
          <w:i w:val="0"/>
          <w:sz w:val="20"/>
          <w:szCs w:val="20"/>
        </w:rPr>
        <w:t>FY 2015-16</w:t>
      </w:r>
      <w:r w:rsidRPr="009B67AA">
        <w:rPr>
          <w:rFonts w:ascii="Calibri" w:hAnsi="Calibri"/>
          <w:i w:val="0"/>
          <w:sz w:val="20"/>
          <w:szCs w:val="20"/>
        </w:rPr>
        <w:t>.</w:t>
      </w:r>
    </w:p>
    <w:p w:rsidR="009B67AA" w:rsidRPr="009B67AA" w:rsidRDefault="009B67AA" w:rsidP="009B67AA">
      <w:pPr>
        <w:pStyle w:val="IBSubheading2"/>
        <w:rPr>
          <w:rFonts w:ascii="Calibri" w:hAnsi="Calibri"/>
          <w:b/>
          <w:i w:val="0"/>
          <w:sz w:val="20"/>
          <w:szCs w:val="20"/>
        </w:rPr>
      </w:pPr>
    </w:p>
    <w:p w:rsidR="009B67AA" w:rsidRPr="009B67AA" w:rsidRDefault="009B67AA" w:rsidP="009B67AA">
      <w:pPr>
        <w:pStyle w:val="IBSubheading2"/>
        <w:rPr>
          <w:rFonts w:ascii="Calibri" w:hAnsi="Calibri"/>
          <w:b/>
          <w:i w:val="0"/>
          <w:sz w:val="20"/>
          <w:szCs w:val="20"/>
        </w:rPr>
      </w:pPr>
      <w:r w:rsidRPr="009B67AA">
        <w:rPr>
          <w:rFonts w:ascii="Calibri" w:hAnsi="Calibri"/>
          <w:i w:val="0"/>
          <w:sz w:val="20"/>
          <w:szCs w:val="20"/>
        </w:rPr>
        <w:t>Waivers included in this category include:</w:t>
      </w:r>
    </w:p>
    <w:p w:rsidR="009B67AA" w:rsidRPr="009B67AA" w:rsidRDefault="009B67AA" w:rsidP="009B67AA">
      <w:pPr>
        <w:pStyle w:val="IBSubheading2"/>
        <w:numPr>
          <w:ilvl w:val="0"/>
          <w:numId w:val="12"/>
        </w:numPr>
        <w:rPr>
          <w:rFonts w:ascii="Calibri" w:hAnsi="Calibri"/>
          <w:b/>
          <w:i w:val="0"/>
          <w:sz w:val="20"/>
          <w:szCs w:val="20"/>
        </w:rPr>
      </w:pPr>
      <w:r w:rsidRPr="009B67AA">
        <w:rPr>
          <w:rFonts w:ascii="Calibri" w:hAnsi="Calibri"/>
          <w:i w:val="0"/>
          <w:sz w:val="20"/>
          <w:szCs w:val="20"/>
        </w:rPr>
        <w:t>WICHE Western Undergraduate Exchange (WUE) waivers</w:t>
      </w:r>
    </w:p>
    <w:p w:rsidR="009B67AA" w:rsidRPr="009B67AA" w:rsidRDefault="009B67AA" w:rsidP="009B67AA">
      <w:pPr>
        <w:pStyle w:val="IBSubheading2"/>
        <w:numPr>
          <w:ilvl w:val="0"/>
          <w:numId w:val="12"/>
        </w:numPr>
        <w:rPr>
          <w:rFonts w:ascii="Calibri" w:hAnsi="Calibri"/>
          <w:b/>
          <w:i w:val="0"/>
          <w:sz w:val="20"/>
          <w:szCs w:val="20"/>
        </w:rPr>
      </w:pPr>
      <w:r w:rsidRPr="009B67AA">
        <w:rPr>
          <w:rFonts w:ascii="Calibri" w:hAnsi="Calibri"/>
          <w:i w:val="0"/>
          <w:sz w:val="20"/>
          <w:szCs w:val="20"/>
        </w:rPr>
        <w:t>Dixie Good Neighbor waivers</w:t>
      </w:r>
    </w:p>
    <w:p w:rsidR="009B67AA" w:rsidRPr="009B67AA" w:rsidRDefault="009B67AA" w:rsidP="009B67AA">
      <w:pPr>
        <w:pStyle w:val="IBSubheading2"/>
        <w:numPr>
          <w:ilvl w:val="0"/>
          <w:numId w:val="12"/>
        </w:numPr>
        <w:rPr>
          <w:rFonts w:ascii="Calibri" w:hAnsi="Calibri"/>
          <w:b/>
          <w:i w:val="0"/>
          <w:sz w:val="20"/>
          <w:szCs w:val="20"/>
        </w:rPr>
      </w:pPr>
      <w:r w:rsidRPr="009B67AA">
        <w:rPr>
          <w:rFonts w:ascii="Calibri" w:hAnsi="Calibri"/>
          <w:i w:val="0"/>
          <w:sz w:val="20"/>
          <w:szCs w:val="20"/>
        </w:rPr>
        <w:t>Border waivers</w:t>
      </w:r>
    </w:p>
    <w:p w:rsidR="009B67AA" w:rsidRPr="009B67AA" w:rsidRDefault="009B67AA" w:rsidP="009B67AA">
      <w:pPr>
        <w:pStyle w:val="IBSubheading2"/>
        <w:numPr>
          <w:ilvl w:val="0"/>
          <w:numId w:val="12"/>
        </w:numPr>
        <w:rPr>
          <w:rFonts w:ascii="Calibri" w:hAnsi="Calibri"/>
          <w:b/>
          <w:i w:val="0"/>
          <w:sz w:val="20"/>
          <w:szCs w:val="20"/>
        </w:rPr>
      </w:pPr>
      <w:r w:rsidRPr="009B67AA">
        <w:rPr>
          <w:rFonts w:ascii="Calibri" w:hAnsi="Calibri"/>
          <w:i w:val="0"/>
          <w:sz w:val="20"/>
          <w:szCs w:val="20"/>
        </w:rPr>
        <w:t>Reciprocal agreement waivers</w:t>
      </w:r>
    </w:p>
    <w:p w:rsidR="009B67AA" w:rsidRPr="009B67AA" w:rsidRDefault="009B67AA" w:rsidP="009B67AA">
      <w:pPr>
        <w:pStyle w:val="IBSubheading2"/>
        <w:rPr>
          <w:rFonts w:ascii="Calibri" w:hAnsi="Calibri"/>
          <w:b/>
          <w:i w:val="0"/>
          <w:sz w:val="20"/>
          <w:szCs w:val="20"/>
        </w:rPr>
      </w:pPr>
    </w:p>
    <w:p w:rsidR="009B67AA" w:rsidRPr="009B67AA" w:rsidRDefault="009B67AA" w:rsidP="009B67AA">
      <w:pPr>
        <w:pStyle w:val="IBSubheading2"/>
        <w:ind w:firstLine="0"/>
        <w:rPr>
          <w:rFonts w:ascii="Calibri" w:hAnsi="Calibri"/>
          <w:b/>
          <w:i w:val="0"/>
          <w:sz w:val="20"/>
          <w:szCs w:val="20"/>
        </w:rPr>
      </w:pPr>
      <w:r w:rsidRPr="009B67AA">
        <w:rPr>
          <w:rFonts w:ascii="Calibri" w:hAnsi="Calibri"/>
          <w:i w:val="0"/>
          <w:sz w:val="20"/>
          <w:szCs w:val="20"/>
        </w:rPr>
        <w:t>The waiver used most in this category is the WICHE Western Undergraduate Exchange program.  Utah is a long-standing member of the Western Interstate Commission for Higher Education (WICHE) and as a member participates in several reciprocal tuition agreements with the surrounding western states. The most popular of these programs is the Western</w:t>
      </w:r>
      <w:r w:rsidR="008F3250">
        <w:rPr>
          <w:rFonts w:ascii="Calibri" w:hAnsi="Calibri"/>
          <w:i w:val="0"/>
          <w:sz w:val="20"/>
          <w:szCs w:val="20"/>
        </w:rPr>
        <w:t xml:space="preserve"> Undergraduate Exchange program</w:t>
      </w:r>
      <w:r w:rsidRPr="009B67AA">
        <w:rPr>
          <w:rFonts w:ascii="Calibri" w:hAnsi="Calibri"/>
          <w:i w:val="0"/>
          <w:sz w:val="20"/>
          <w:szCs w:val="20"/>
        </w:rPr>
        <w:t xml:space="preserve"> where states have agreed to enroll non-resident students at their institutions at 1.5 times the resident tuition rate.  In Fall of 2015</w:t>
      </w:r>
      <w:r w:rsidR="00961649">
        <w:rPr>
          <w:rFonts w:ascii="Calibri" w:hAnsi="Calibri"/>
          <w:i w:val="0"/>
          <w:sz w:val="20"/>
          <w:szCs w:val="20"/>
        </w:rPr>
        <w:t>,</w:t>
      </w:r>
      <w:r w:rsidRPr="009B67AA">
        <w:rPr>
          <w:rFonts w:ascii="Calibri" w:hAnsi="Calibri"/>
          <w:i w:val="0"/>
          <w:sz w:val="20"/>
          <w:szCs w:val="20"/>
        </w:rPr>
        <w:t xml:space="preserve"> Utah had 960 of its residents attend institutions in the surrounding western states under this program and served 1,377 students from outside of the state. </w:t>
      </w:r>
    </w:p>
    <w:p w:rsidR="009B67AA" w:rsidRDefault="009B67AA" w:rsidP="009B67AA">
      <w:pPr>
        <w:pStyle w:val="IBSubheading2"/>
        <w:rPr>
          <w:rFonts w:asciiTheme="minorHAnsi" w:hAnsiTheme="minorHAnsi"/>
          <w:b/>
          <w:i w:val="0"/>
          <w:szCs w:val="20"/>
        </w:rPr>
      </w:pPr>
    </w:p>
    <w:p w:rsidR="009B67AA" w:rsidRPr="009B67AA" w:rsidRDefault="009B67AA" w:rsidP="009B67AA">
      <w:pPr>
        <w:pStyle w:val="IBSubheading2"/>
        <w:rPr>
          <w:b/>
        </w:rPr>
      </w:pPr>
      <w:r w:rsidRPr="009B67AA">
        <w:t>Entitlement Tuition Waivers</w:t>
      </w:r>
      <w:r w:rsidRPr="009B67AA">
        <w:tab/>
      </w:r>
      <w:r w:rsidRPr="009B67AA">
        <w:tab/>
      </w:r>
      <w:r w:rsidRPr="009B67AA">
        <w:tab/>
      </w:r>
      <w:r w:rsidRPr="009B67AA">
        <w:tab/>
      </w:r>
      <w:r w:rsidRPr="009B67AA">
        <w:tab/>
      </w:r>
      <w:r w:rsidRPr="009B67AA">
        <w:tab/>
      </w:r>
    </w:p>
    <w:p w:rsidR="009B67AA" w:rsidRDefault="009B67AA" w:rsidP="009B67AA">
      <w:pPr>
        <w:pStyle w:val="IBSubheading2"/>
        <w:ind w:firstLine="0"/>
        <w:rPr>
          <w:rFonts w:ascii="Calibri" w:hAnsi="Calibri"/>
          <w:i w:val="0"/>
          <w:sz w:val="20"/>
          <w:szCs w:val="20"/>
        </w:rPr>
      </w:pPr>
    </w:p>
    <w:p w:rsidR="009B67AA" w:rsidRPr="009B67AA" w:rsidRDefault="009B67AA" w:rsidP="009B67AA">
      <w:pPr>
        <w:pStyle w:val="IBSubheading2"/>
        <w:ind w:firstLine="0"/>
        <w:rPr>
          <w:rFonts w:ascii="Calibri" w:hAnsi="Calibri"/>
          <w:b/>
          <w:i w:val="0"/>
          <w:sz w:val="20"/>
          <w:szCs w:val="20"/>
        </w:rPr>
      </w:pPr>
      <w:r w:rsidRPr="009B67AA">
        <w:rPr>
          <w:rFonts w:ascii="Calibri" w:hAnsi="Calibri"/>
          <w:i w:val="0"/>
          <w:sz w:val="20"/>
          <w:szCs w:val="20"/>
        </w:rPr>
        <w:t>Over the years, several entitlement tuition waivers have been approved by the legislature to help assist our military families, dependents of fallen soldiers, police officers, and firefighters, wards of the state, foreign and undocumented high school graduates, and senior citizens.  In FY</w:t>
      </w:r>
      <w:r w:rsidR="00BA1C80">
        <w:rPr>
          <w:rFonts w:ascii="Calibri" w:hAnsi="Calibri"/>
          <w:i w:val="0"/>
          <w:sz w:val="20"/>
          <w:szCs w:val="20"/>
        </w:rPr>
        <w:t xml:space="preserve"> 2015-</w:t>
      </w:r>
      <w:r w:rsidRPr="009B67AA">
        <w:rPr>
          <w:rFonts w:ascii="Calibri" w:hAnsi="Calibri"/>
          <w:i w:val="0"/>
          <w:sz w:val="20"/>
          <w:szCs w:val="20"/>
        </w:rPr>
        <w:t>16</w:t>
      </w:r>
      <w:r w:rsidR="00961649">
        <w:rPr>
          <w:rFonts w:ascii="Calibri" w:hAnsi="Calibri"/>
          <w:i w:val="0"/>
          <w:sz w:val="20"/>
          <w:szCs w:val="20"/>
        </w:rPr>
        <w:t>,</w:t>
      </w:r>
      <w:r w:rsidRPr="009B67AA">
        <w:rPr>
          <w:rFonts w:ascii="Calibri" w:hAnsi="Calibri"/>
          <w:i w:val="0"/>
          <w:sz w:val="20"/>
          <w:szCs w:val="20"/>
        </w:rPr>
        <w:t xml:space="preserve"> USHE institutions waived over $9.7 million </w:t>
      </w:r>
      <w:r w:rsidR="00961649">
        <w:rPr>
          <w:rFonts w:ascii="Calibri" w:hAnsi="Calibri"/>
          <w:i w:val="0"/>
          <w:sz w:val="20"/>
          <w:szCs w:val="20"/>
        </w:rPr>
        <w:t xml:space="preserve">through entitlement tuition waivers, </w:t>
      </w:r>
      <w:r w:rsidRPr="009B67AA">
        <w:rPr>
          <w:rFonts w:ascii="Calibri" w:hAnsi="Calibri"/>
          <w:i w:val="0"/>
          <w:sz w:val="20"/>
          <w:szCs w:val="20"/>
        </w:rPr>
        <w:t xml:space="preserve">which represents 7.8% of the waivers awarded in </w:t>
      </w:r>
      <w:r w:rsidR="00961649">
        <w:rPr>
          <w:rFonts w:ascii="Calibri" w:hAnsi="Calibri"/>
          <w:i w:val="0"/>
          <w:sz w:val="20"/>
          <w:szCs w:val="20"/>
        </w:rPr>
        <w:t>FY 2015-16</w:t>
      </w:r>
      <w:r w:rsidRPr="009B67AA">
        <w:rPr>
          <w:rFonts w:ascii="Calibri" w:hAnsi="Calibri"/>
          <w:i w:val="0"/>
          <w:sz w:val="20"/>
          <w:szCs w:val="20"/>
        </w:rPr>
        <w:t>.</w:t>
      </w:r>
      <w:r w:rsidR="00D22FD4">
        <w:rPr>
          <w:rFonts w:ascii="Calibri" w:hAnsi="Calibri"/>
          <w:i w:val="0"/>
          <w:sz w:val="20"/>
          <w:szCs w:val="20"/>
        </w:rPr>
        <w:t xml:space="preserve">  </w:t>
      </w:r>
      <w:r w:rsidR="005263EC">
        <w:rPr>
          <w:rFonts w:ascii="Calibri" w:hAnsi="Calibri"/>
          <w:i w:val="0"/>
          <w:sz w:val="20"/>
          <w:szCs w:val="20"/>
        </w:rPr>
        <w:t>Of the $9.7 million waived</w:t>
      </w:r>
      <w:r w:rsidR="00961649">
        <w:rPr>
          <w:rFonts w:ascii="Calibri" w:hAnsi="Calibri"/>
          <w:i w:val="0"/>
          <w:sz w:val="20"/>
          <w:szCs w:val="20"/>
        </w:rPr>
        <w:t>,</w:t>
      </w:r>
      <w:r w:rsidR="005263EC">
        <w:rPr>
          <w:rFonts w:ascii="Calibri" w:hAnsi="Calibri"/>
          <w:i w:val="0"/>
          <w:sz w:val="20"/>
          <w:szCs w:val="20"/>
        </w:rPr>
        <w:t xml:space="preserve"> over $6.5 million in waivers were provided to Foreign National and Undocumented Utah High School Graduates, approximately $2.2 million was provided to senior citizens, and $1 million was provided to members of the military or their respective dependents.  </w:t>
      </w:r>
    </w:p>
    <w:p w:rsidR="009B67AA" w:rsidRPr="009B67AA" w:rsidRDefault="009B67AA" w:rsidP="009B67AA">
      <w:pPr>
        <w:pStyle w:val="IBSubheading2"/>
        <w:rPr>
          <w:rFonts w:ascii="Calibri" w:hAnsi="Calibri"/>
          <w:b/>
          <w:i w:val="0"/>
          <w:sz w:val="20"/>
          <w:szCs w:val="20"/>
        </w:rPr>
      </w:pPr>
    </w:p>
    <w:p w:rsidR="009B67AA" w:rsidRPr="009B67AA" w:rsidRDefault="009B67AA" w:rsidP="009B67AA">
      <w:pPr>
        <w:pStyle w:val="IBSubheading2"/>
        <w:rPr>
          <w:rFonts w:ascii="Calibri" w:hAnsi="Calibri"/>
          <w:b/>
          <w:i w:val="0"/>
          <w:sz w:val="20"/>
          <w:szCs w:val="20"/>
        </w:rPr>
      </w:pPr>
      <w:r w:rsidRPr="009B67AA">
        <w:rPr>
          <w:rFonts w:ascii="Calibri" w:hAnsi="Calibri"/>
          <w:i w:val="0"/>
          <w:sz w:val="20"/>
          <w:szCs w:val="20"/>
        </w:rPr>
        <w:t>Waivers included in this category include:</w:t>
      </w:r>
    </w:p>
    <w:p w:rsidR="009B67AA" w:rsidRPr="009B67AA" w:rsidRDefault="009B67AA" w:rsidP="009B67AA">
      <w:pPr>
        <w:pStyle w:val="IBSubheading2"/>
        <w:numPr>
          <w:ilvl w:val="0"/>
          <w:numId w:val="12"/>
        </w:numPr>
        <w:rPr>
          <w:rFonts w:ascii="Calibri" w:hAnsi="Calibri"/>
          <w:b/>
          <w:i w:val="0"/>
          <w:sz w:val="20"/>
          <w:szCs w:val="20"/>
        </w:rPr>
      </w:pPr>
      <w:r w:rsidRPr="009B67AA">
        <w:rPr>
          <w:rFonts w:ascii="Calibri" w:hAnsi="Calibri"/>
          <w:i w:val="0"/>
          <w:sz w:val="20"/>
          <w:szCs w:val="20"/>
        </w:rPr>
        <w:t>Purple Heart Recipient Waivers</w:t>
      </w:r>
    </w:p>
    <w:p w:rsidR="009B67AA" w:rsidRPr="009B67AA" w:rsidRDefault="009B67AA" w:rsidP="009B67AA">
      <w:pPr>
        <w:pStyle w:val="IBSubheading2"/>
        <w:numPr>
          <w:ilvl w:val="0"/>
          <w:numId w:val="12"/>
        </w:numPr>
        <w:rPr>
          <w:rFonts w:ascii="Calibri" w:hAnsi="Calibri"/>
          <w:b/>
          <w:i w:val="0"/>
          <w:sz w:val="20"/>
          <w:szCs w:val="20"/>
        </w:rPr>
      </w:pPr>
      <w:r w:rsidRPr="009B67AA">
        <w:rPr>
          <w:rFonts w:ascii="Calibri" w:hAnsi="Calibri"/>
          <w:i w:val="0"/>
          <w:sz w:val="20"/>
          <w:szCs w:val="20"/>
        </w:rPr>
        <w:t>National Guard Member waivers</w:t>
      </w:r>
    </w:p>
    <w:p w:rsidR="009B67AA" w:rsidRPr="009B67AA" w:rsidRDefault="009B67AA" w:rsidP="009B67AA">
      <w:pPr>
        <w:pStyle w:val="IBSubheading2"/>
        <w:numPr>
          <w:ilvl w:val="0"/>
          <w:numId w:val="12"/>
        </w:numPr>
        <w:rPr>
          <w:rFonts w:ascii="Calibri" w:hAnsi="Calibri"/>
          <w:b/>
          <w:i w:val="0"/>
          <w:sz w:val="20"/>
          <w:szCs w:val="20"/>
        </w:rPr>
      </w:pPr>
      <w:r w:rsidRPr="009B67AA">
        <w:rPr>
          <w:rFonts w:ascii="Calibri" w:hAnsi="Calibri"/>
          <w:i w:val="0"/>
          <w:sz w:val="20"/>
          <w:szCs w:val="20"/>
        </w:rPr>
        <w:t>Military member and dependents waivers</w:t>
      </w:r>
    </w:p>
    <w:p w:rsidR="009B67AA" w:rsidRPr="009B67AA" w:rsidRDefault="009B67AA" w:rsidP="009B67AA">
      <w:pPr>
        <w:pStyle w:val="IBSubheading2"/>
        <w:numPr>
          <w:ilvl w:val="0"/>
          <w:numId w:val="12"/>
        </w:numPr>
        <w:rPr>
          <w:rFonts w:ascii="Calibri" w:hAnsi="Calibri"/>
          <w:b/>
          <w:i w:val="0"/>
          <w:sz w:val="20"/>
          <w:szCs w:val="20"/>
        </w:rPr>
      </w:pPr>
      <w:r w:rsidRPr="009B67AA">
        <w:rPr>
          <w:rFonts w:ascii="Calibri" w:hAnsi="Calibri"/>
          <w:i w:val="0"/>
          <w:sz w:val="20"/>
          <w:szCs w:val="20"/>
        </w:rPr>
        <w:t xml:space="preserve">Scott B </w:t>
      </w:r>
      <w:proofErr w:type="spellStart"/>
      <w:r w:rsidRPr="009B67AA">
        <w:rPr>
          <w:rFonts w:ascii="Calibri" w:hAnsi="Calibri"/>
          <w:i w:val="0"/>
          <w:sz w:val="20"/>
          <w:szCs w:val="20"/>
        </w:rPr>
        <w:t>Lundell</w:t>
      </w:r>
      <w:proofErr w:type="spellEnd"/>
      <w:r w:rsidRPr="009B67AA">
        <w:rPr>
          <w:rFonts w:ascii="Calibri" w:hAnsi="Calibri"/>
          <w:i w:val="0"/>
          <w:sz w:val="20"/>
          <w:szCs w:val="20"/>
        </w:rPr>
        <w:t xml:space="preserve"> Fallen Soldier dependents waivers</w:t>
      </w:r>
    </w:p>
    <w:p w:rsidR="009B67AA" w:rsidRPr="009B67AA" w:rsidRDefault="009B67AA" w:rsidP="009B67AA">
      <w:pPr>
        <w:pStyle w:val="IBSubheading2"/>
        <w:numPr>
          <w:ilvl w:val="0"/>
          <w:numId w:val="12"/>
        </w:numPr>
        <w:rPr>
          <w:rFonts w:ascii="Calibri" w:hAnsi="Calibri"/>
          <w:b/>
          <w:i w:val="0"/>
          <w:sz w:val="20"/>
          <w:szCs w:val="20"/>
        </w:rPr>
      </w:pPr>
      <w:r w:rsidRPr="009B67AA">
        <w:rPr>
          <w:rFonts w:ascii="Calibri" w:hAnsi="Calibri"/>
          <w:i w:val="0"/>
          <w:sz w:val="20"/>
          <w:szCs w:val="20"/>
        </w:rPr>
        <w:t>Fallen Police and Firefighter dependents waivers</w:t>
      </w:r>
    </w:p>
    <w:p w:rsidR="009B67AA" w:rsidRPr="009B67AA" w:rsidRDefault="009B67AA" w:rsidP="009B67AA">
      <w:pPr>
        <w:pStyle w:val="IBSubheading2"/>
        <w:numPr>
          <w:ilvl w:val="0"/>
          <w:numId w:val="12"/>
        </w:numPr>
        <w:rPr>
          <w:rFonts w:ascii="Calibri" w:hAnsi="Calibri"/>
          <w:b/>
          <w:i w:val="0"/>
          <w:sz w:val="20"/>
          <w:szCs w:val="20"/>
        </w:rPr>
      </w:pPr>
      <w:r w:rsidRPr="009B67AA">
        <w:rPr>
          <w:rFonts w:ascii="Calibri" w:hAnsi="Calibri"/>
          <w:i w:val="0"/>
          <w:sz w:val="20"/>
          <w:szCs w:val="20"/>
        </w:rPr>
        <w:t>Wards of the State Tuition Waivers</w:t>
      </w:r>
    </w:p>
    <w:p w:rsidR="009B67AA" w:rsidRPr="009B67AA" w:rsidRDefault="009B67AA" w:rsidP="009B67AA">
      <w:pPr>
        <w:pStyle w:val="IBSubheading2"/>
        <w:numPr>
          <w:ilvl w:val="0"/>
          <w:numId w:val="12"/>
        </w:numPr>
        <w:rPr>
          <w:rFonts w:ascii="Calibri" w:hAnsi="Calibri"/>
          <w:b/>
          <w:i w:val="0"/>
          <w:sz w:val="20"/>
          <w:szCs w:val="20"/>
        </w:rPr>
      </w:pPr>
      <w:r w:rsidRPr="009B67AA">
        <w:rPr>
          <w:rFonts w:ascii="Calibri" w:hAnsi="Calibri"/>
          <w:i w:val="0"/>
          <w:sz w:val="20"/>
          <w:szCs w:val="20"/>
        </w:rPr>
        <w:t>Foreign National Utah High School Graduates</w:t>
      </w:r>
    </w:p>
    <w:p w:rsidR="009B67AA" w:rsidRPr="009B67AA" w:rsidRDefault="009B67AA" w:rsidP="009B67AA">
      <w:pPr>
        <w:pStyle w:val="IBSubheading2"/>
        <w:numPr>
          <w:ilvl w:val="0"/>
          <w:numId w:val="12"/>
        </w:numPr>
        <w:rPr>
          <w:rFonts w:ascii="Calibri" w:hAnsi="Calibri"/>
          <w:b/>
          <w:i w:val="0"/>
          <w:sz w:val="20"/>
          <w:szCs w:val="20"/>
        </w:rPr>
      </w:pPr>
      <w:r w:rsidRPr="009B67AA">
        <w:rPr>
          <w:rFonts w:ascii="Calibri" w:hAnsi="Calibri"/>
          <w:i w:val="0"/>
          <w:sz w:val="20"/>
          <w:szCs w:val="20"/>
        </w:rPr>
        <w:t>Undocumented Utah High School Graduates</w:t>
      </w:r>
    </w:p>
    <w:p w:rsidR="009B67AA" w:rsidRPr="009B67AA" w:rsidRDefault="009B67AA" w:rsidP="009B67AA">
      <w:pPr>
        <w:pStyle w:val="IBSubheading2"/>
        <w:numPr>
          <w:ilvl w:val="0"/>
          <w:numId w:val="12"/>
        </w:numPr>
        <w:rPr>
          <w:rFonts w:ascii="Calibri" w:hAnsi="Calibri"/>
          <w:b/>
          <w:i w:val="0"/>
          <w:sz w:val="20"/>
          <w:szCs w:val="20"/>
        </w:rPr>
      </w:pPr>
      <w:r w:rsidRPr="009B67AA">
        <w:rPr>
          <w:rFonts w:ascii="Calibri" w:hAnsi="Calibri"/>
          <w:i w:val="0"/>
          <w:sz w:val="20"/>
          <w:szCs w:val="20"/>
        </w:rPr>
        <w:t>Senior Citizens</w:t>
      </w:r>
    </w:p>
    <w:p w:rsidR="009B67AA" w:rsidRDefault="009B67AA" w:rsidP="009B67AA">
      <w:pPr>
        <w:pStyle w:val="IBSubheading2"/>
        <w:rPr>
          <w:rFonts w:ascii="Constantia" w:hAnsi="Constantia"/>
        </w:rPr>
      </w:pPr>
    </w:p>
    <w:p w:rsidR="009B67AA" w:rsidRPr="009B67AA" w:rsidRDefault="009B67AA" w:rsidP="009B67AA">
      <w:pPr>
        <w:pStyle w:val="IBSubheading2"/>
        <w:rPr>
          <w:b/>
        </w:rPr>
      </w:pPr>
      <w:r w:rsidRPr="009B67AA">
        <w:t>Targeted Tuition Waivers</w:t>
      </w:r>
      <w:r w:rsidRPr="009B67AA">
        <w:tab/>
      </w:r>
      <w:r w:rsidRPr="009B67AA">
        <w:tab/>
      </w:r>
      <w:r w:rsidRPr="009B67AA">
        <w:tab/>
      </w:r>
    </w:p>
    <w:p w:rsidR="009B67AA" w:rsidRDefault="009B67AA" w:rsidP="009B67AA">
      <w:pPr>
        <w:pStyle w:val="IBSubheading2"/>
        <w:ind w:firstLine="0"/>
        <w:rPr>
          <w:rFonts w:asciiTheme="minorHAnsi" w:hAnsiTheme="minorHAnsi"/>
          <w:i w:val="0"/>
          <w:szCs w:val="20"/>
        </w:rPr>
      </w:pPr>
    </w:p>
    <w:p w:rsidR="009B67AA" w:rsidRPr="00114542" w:rsidRDefault="000C7E78" w:rsidP="00114542">
      <w:pPr>
        <w:pStyle w:val="IBSubheading2"/>
        <w:ind w:firstLine="0"/>
        <w:rPr>
          <w:rFonts w:ascii="Calibri" w:hAnsi="Calibri"/>
          <w:b/>
          <w:sz w:val="20"/>
          <w:szCs w:val="20"/>
        </w:rPr>
      </w:pPr>
      <w:r>
        <w:rPr>
          <w:rFonts w:ascii="Calibri" w:hAnsi="Calibri"/>
          <w:i w:val="0"/>
          <w:sz w:val="20"/>
          <w:szCs w:val="20"/>
        </w:rPr>
        <w:t>T</w:t>
      </w:r>
      <w:r w:rsidR="009B67AA" w:rsidRPr="009B67AA">
        <w:rPr>
          <w:rFonts w:ascii="Calibri" w:hAnsi="Calibri"/>
          <w:i w:val="0"/>
          <w:sz w:val="20"/>
          <w:szCs w:val="20"/>
        </w:rPr>
        <w:t>argeted tuition waivers</w:t>
      </w:r>
      <w:r>
        <w:rPr>
          <w:rFonts w:ascii="Calibri" w:hAnsi="Calibri"/>
          <w:i w:val="0"/>
          <w:sz w:val="20"/>
          <w:szCs w:val="20"/>
        </w:rPr>
        <w:t xml:space="preserve"> are</w:t>
      </w:r>
      <w:r w:rsidR="009B67AA" w:rsidRPr="009B67AA">
        <w:rPr>
          <w:rFonts w:ascii="Calibri" w:hAnsi="Calibri"/>
          <w:i w:val="0"/>
          <w:sz w:val="20"/>
          <w:szCs w:val="20"/>
        </w:rPr>
        <w:t xml:space="preserve"> generally reserved for addressing unique or pressing employment needs in the state</w:t>
      </w:r>
      <w:r>
        <w:rPr>
          <w:rFonts w:ascii="Calibri" w:hAnsi="Calibri"/>
          <w:i w:val="0"/>
          <w:sz w:val="20"/>
          <w:szCs w:val="20"/>
        </w:rPr>
        <w:t xml:space="preserve">. </w:t>
      </w:r>
      <w:r w:rsidR="009B67AA" w:rsidRPr="009B67AA">
        <w:rPr>
          <w:rFonts w:ascii="Calibri" w:hAnsi="Calibri"/>
          <w:i w:val="0"/>
          <w:sz w:val="20"/>
          <w:szCs w:val="20"/>
        </w:rPr>
        <w:t>At this time, the only tuition waiver being utilized in this category is the K-12 educator professional development tuition waiver.  The USHE institutions waived approximately $24,000</w:t>
      </w:r>
      <w:r w:rsidR="00961649">
        <w:rPr>
          <w:rFonts w:ascii="Calibri" w:hAnsi="Calibri"/>
          <w:i w:val="0"/>
          <w:sz w:val="20"/>
          <w:szCs w:val="20"/>
        </w:rPr>
        <w:t xml:space="preserve"> through targeted tuition waivers</w:t>
      </w:r>
      <w:r w:rsidR="009B67AA" w:rsidRPr="009B67AA">
        <w:rPr>
          <w:rFonts w:ascii="Calibri" w:hAnsi="Calibri"/>
          <w:i w:val="0"/>
          <w:sz w:val="20"/>
          <w:szCs w:val="20"/>
        </w:rPr>
        <w:t xml:space="preserve"> in FY</w:t>
      </w:r>
      <w:r w:rsidR="00BA1C80">
        <w:rPr>
          <w:rFonts w:ascii="Calibri" w:hAnsi="Calibri"/>
          <w:i w:val="0"/>
          <w:sz w:val="20"/>
          <w:szCs w:val="20"/>
        </w:rPr>
        <w:t xml:space="preserve"> 2015-</w:t>
      </w:r>
      <w:r w:rsidR="009B67AA" w:rsidRPr="009B67AA">
        <w:rPr>
          <w:rFonts w:ascii="Calibri" w:hAnsi="Calibri"/>
          <w:i w:val="0"/>
          <w:sz w:val="20"/>
          <w:szCs w:val="20"/>
        </w:rPr>
        <w:t xml:space="preserve">16. </w:t>
      </w:r>
    </w:p>
    <w:p w:rsidR="009B67AA" w:rsidRPr="009B67AA" w:rsidRDefault="009B67AA" w:rsidP="009B67AA">
      <w:pPr>
        <w:pStyle w:val="IBSubheading2"/>
        <w:rPr>
          <w:rFonts w:ascii="Calibri" w:hAnsi="Calibri"/>
          <w:b/>
          <w:i w:val="0"/>
          <w:sz w:val="20"/>
          <w:szCs w:val="20"/>
        </w:rPr>
      </w:pPr>
      <w:r w:rsidRPr="009B67AA">
        <w:rPr>
          <w:rFonts w:ascii="Calibri" w:hAnsi="Calibri"/>
          <w:i w:val="0"/>
          <w:sz w:val="20"/>
          <w:szCs w:val="20"/>
        </w:rPr>
        <w:t>Waivers included in this category include:</w:t>
      </w:r>
    </w:p>
    <w:p w:rsidR="009B67AA" w:rsidRPr="009B67AA" w:rsidRDefault="009B67AA" w:rsidP="009B67AA">
      <w:pPr>
        <w:pStyle w:val="IBSubheading2"/>
        <w:numPr>
          <w:ilvl w:val="0"/>
          <w:numId w:val="12"/>
        </w:numPr>
        <w:rPr>
          <w:rFonts w:ascii="Calibri" w:hAnsi="Calibri"/>
          <w:b/>
          <w:i w:val="0"/>
          <w:sz w:val="20"/>
          <w:szCs w:val="20"/>
        </w:rPr>
      </w:pPr>
      <w:r w:rsidRPr="009B67AA">
        <w:rPr>
          <w:rFonts w:ascii="Calibri" w:hAnsi="Calibri"/>
          <w:i w:val="0"/>
          <w:sz w:val="20"/>
          <w:szCs w:val="20"/>
        </w:rPr>
        <w:t>Public School Teacher waivers</w:t>
      </w:r>
    </w:p>
    <w:p w:rsidR="009B67AA" w:rsidRPr="00961649" w:rsidRDefault="009B67AA" w:rsidP="009B67AA">
      <w:pPr>
        <w:pStyle w:val="IBSubheading2"/>
        <w:numPr>
          <w:ilvl w:val="0"/>
          <w:numId w:val="12"/>
        </w:numPr>
        <w:rPr>
          <w:rFonts w:ascii="Calibri" w:hAnsi="Calibri"/>
          <w:b/>
          <w:i w:val="0"/>
          <w:sz w:val="20"/>
          <w:szCs w:val="20"/>
        </w:rPr>
      </w:pPr>
      <w:r w:rsidRPr="00961649">
        <w:rPr>
          <w:rFonts w:ascii="Calibri" w:hAnsi="Calibri"/>
          <w:i w:val="0"/>
          <w:sz w:val="20"/>
          <w:szCs w:val="20"/>
        </w:rPr>
        <w:t>Sequential Mandarin Chinese waivers</w:t>
      </w:r>
    </w:p>
    <w:p w:rsidR="009B67AA" w:rsidRPr="00103528" w:rsidRDefault="009B67AA" w:rsidP="009B67AA">
      <w:pPr>
        <w:pStyle w:val="IBSubheading2"/>
        <w:numPr>
          <w:ilvl w:val="0"/>
          <w:numId w:val="12"/>
        </w:numPr>
        <w:rPr>
          <w:rFonts w:asciiTheme="minorHAnsi" w:hAnsiTheme="minorHAnsi"/>
          <w:b/>
          <w:i w:val="0"/>
          <w:sz w:val="20"/>
          <w:szCs w:val="20"/>
        </w:rPr>
      </w:pPr>
      <w:r w:rsidRPr="00405B33">
        <w:rPr>
          <w:rFonts w:ascii="Calibri" w:hAnsi="Calibri"/>
          <w:i w:val="0"/>
          <w:sz w:val="20"/>
          <w:szCs w:val="20"/>
        </w:rPr>
        <w:t>Critical Occupation waivers</w:t>
      </w:r>
    </w:p>
    <w:p w:rsidR="005263EC" w:rsidRDefault="005263EC" w:rsidP="00D97A81">
      <w:pPr>
        <w:pStyle w:val="IBSubheading1"/>
      </w:pPr>
    </w:p>
    <w:p w:rsidR="00D97A81" w:rsidRPr="003D6626" w:rsidRDefault="00A871E9" w:rsidP="00D97A81">
      <w:pPr>
        <w:pStyle w:val="IBSubheading1"/>
      </w:pPr>
      <w:r>
        <w:t>Review of the Use of Tuition Waivers</w:t>
      </w:r>
    </w:p>
    <w:p w:rsidR="000F0D97" w:rsidRDefault="000F0D97" w:rsidP="00D97A81">
      <w:pPr>
        <w:pStyle w:val="IBSubheading2"/>
        <w:ind w:firstLine="0"/>
        <w:rPr>
          <w:rFonts w:ascii="Calibri" w:hAnsi="Calibri"/>
          <w:i w:val="0"/>
          <w:sz w:val="20"/>
          <w:szCs w:val="20"/>
        </w:rPr>
      </w:pPr>
    </w:p>
    <w:p w:rsidR="009B67AA" w:rsidRDefault="009B67AA" w:rsidP="00D97A81">
      <w:pPr>
        <w:pStyle w:val="IBSubheading2"/>
        <w:ind w:firstLine="0"/>
        <w:rPr>
          <w:rFonts w:ascii="Calibri" w:hAnsi="Calibri"/>
          <w:i w:val="0"/>
          <w:sz w:val="20"/>
          <w:szCs w:val="20"/>
        </w:rPr>
      </w:pPr>
      <w:r w:rsidRPr="00D97A81">
        <w:rPr>
          <w:rFonts w:ascii="Calibri" w:hAnsi="Calibri"/>
          <w:i w:val="0"/>
          <w:sz w:val="20"/>
          <w:szCs w:val="20"/>
        </w:rPr>
        <w:t xml:space="preserve">Over the last 10 years, USHE institutions have increased the overall amount of tuition waivers that they have awarded to resident and non-resident students.  In </w:t>
      </w:r>
      <w:r w:rsidR="00BA1C80">
        <w:rPr>
          <w:rFonts w:ascii="Calibri" w:hAnsi="Calibri"/>
          <w:i w:val="0"/>
          <w:sz w:val="20"/>
          <w:szCs w:val="20"/>
        </w:rPr>
        <w:t xml:space="preserve">FY </w:t>
      </w:r>
      <w:r w:rsidRPr="00D97A81">
        <w:rPr>
          <w:rFonts w:ascii="Calibri" w:hAnsi="Calibri"/>
          <w:i w:val="0"/>
          <w:sz w:val="20"/>
          <w:szCs w:val="20"/>
        </w:rPr>
        <w:t>2006-07</w:t>
      </w:r>
      <w:r w:rsidR="00961649">
        <w:rPr>
          <w:rFonts w:ascii="Calibri" w:hAnsi="Calibri"/>
          <w:i w:val="0"/>
          <w:sz w:val="20"/>
          <w:szCs w:val="20"/>
        </w:rPr>
        <w:t>,</w:t>
      </w:r>
      <w:r w:rsidRPr="00D97A81">
        <w:rPr>
          <w:rFonts w:ascii="Calibri" w:hAnsi="Calibri"/>
          <w:i w:val="0"/>
          <w:sz w:val="20"/>
          <w:szCs w:val="20"/>
        </w:rPr>
        <w:t xml:space="preserve"> USHE institutions waived approximately 10.5% of the total amount of tuition revenue that it could have </w:t>
      </w:r>
      <w:r w:rsidR="00BA1C80">
        <w:rPr>
          <w:rFonts w:ascii="Calibri" w:hAnsi="Calibri"/>
          <w:i w:val="0"/>
          <w:sz w:val="20"/>
          <w:szCs w:val="20"/>
        </w:rPr>
        <w:t>assessed</w:t>
      </w:r>
      <w:r w:rsidRPr="00D97A81">
        <w:rPr>
          <w:rFonts w:ascii="Calibri" w:hAnsi="Calibri"/>
          <w:i w:val="0"/>
          <w:sz w:val="20"/>
          <w:szCs w:val="20"/>
        </w:rPr>
        <w:t xml:space="preserve">.  In </w:t>
      </w:r>
      <w:r w:rsidR="00BA1C80">
        <w:rPr>
          <w:rFonts w:ascii="Calibri" w:hAnsi="Calibri"/>
          <w:i w:val="0"/>
          <w:sz w:val="20"/>
          <w:szCs w:val="20"/>
        </w:rPr>
        <w:t xml:space="preserve">FY </w:t>
      </w:r>
      <w:r w:rsidRPr="00D97A81">
        <w:rPr>
          <w:rFonts w:ascii="Calibri" w:hAnsi="Calibri"/>
          <w:i w:val="0"/>
          <w:sz w:val="20"/>
          <w:szCs w:val="20"/>
        </w:rPr>
        <w:t xml:space="preserve">2015-16, that amount increased to 14.5%. </w:t>
      </w:r>
      <w:r w:rsidR="00F63AFC">
        <w:rPr>
          <w:rFonts w:ascii="Calibri" w:hAnsi="Calibri"/>
          <w:i w:val="0"/>
          <w:sz w:val="20"/>
          <w:szCs w:val="20"/>
        </w:rPr>
        <w:t xml:space="preserve"> </w:t>
      </w:r>
    </w:p>
    <w:p w:rsidR="000F0D97" w:rsidRDefault="000F0D97" w:rsidP="00D97A81">
      <w:pPr>
        <w:pStyle w:val="IBSubheading2"/>
        <w:ind w:firstLine="0"/>
        <w:rPr>
          <w:rFonts w:ascii="Calibri" w:hAnsi="Calibri"/>
          <w:i w:val="0"/>
          <w:sz w:val="20"/>
          <w:szCs w:val="20"/>
        </w:rPr>
      </w:pPr>
    </w:p>
    <w:tbl>
      <w:tblPr>
        <w:tblStyle w:val="GridTable2-Accent41"/>
        <w:tblW w:w="5000" w:type="pct"/>
        <w:tblLook w:val="04A0" w:firstRow="1" w:lastRow="0" w:firstColumn="1" w:lastColumn="0" w:noHBand="0" w:noVBand="1"/>
      </w:tblPr>
      <w:tblGrid>
        <w:gridCol w:w="1620"/>
        <w:gridCol w:w="2089"/>
        <w:gridCol w:w="1567"/>
        <w:gridCol w:w="314"/>
        <w:gridCol w:w="2366"/>
        <w:gridCol w:w="1404"/>
      </w:tblGrid>
      <w:tr w:rsidR="005D6A12" w:rsidRPr="005D6A12" w:rsidTr="005D6A12">
        <w:trPr>
          <w:cnfStyle w:val="100000000000" w:firstRow="1" w:lastRow="0" w:firstColumn="0" w:lastColumn="0" w:oddVBand="0" w:evenVBand="0" w:oddHBand="0" w:evenHBand="0" w:firstRowFirstColumn="0" w:firstRowLastColumn="0" w:lastRowFirstColumn="0" w:lastRowLastColumn="0"/>
          <w:trHeight w:val="588"/>
        </w:trPr>
        <w:tc>
          <w:tcPr>
            <w:cnfStyle w:val="001000000000" w:firstRow="0" w:lastRow="0" w:firstColumn="1" w:lastColumn="0" w:oddVBand="0" w:evenVBand="0" w:oddHBand="0" w:evenHBand="0" w:firstRowFirstColumn="0" w:firstRowLastColumn="0" w:lastRowFirstColumn="0" w:lastRowLastColumn="0"/>
            <w:tcW w:w="865" w:type="pct"/>
            <w:noWrap/>
            <w:hideMark/>
          </w:tcPr>
          <w:p w:rsidR="00D97A81" w:rsidRPr="00D97A81" w:rsidRDefault="00D97A81" w:rsidP="00D97A81">
            <w:pPr>
              <w:rPr>
                <w:rFonts w:ascii="Arial Narrow" w:eastAsia="Times New Roman" w:hAnsi="Arial Narrow" w:cs="Times New Roman"/>
                <w:sz w:val="24"/>
                <w:szCs w:val="24"/>
              </w:rPr>
            </w:pPr>
          </w:p>
        </w:tc>
        <w:tc>
          <w:tcPr>
            <w:tcW w:w="1953" w:type="pct"/>
            <w:gridSpan w:val="2"/>
            <w:hideMark/>
          </w:tcPr>
          <w:p w:rsidR="00D97A81" w:rsidRPr="00D97A81" w:rsidRDefault="00BA1C80" w:rsidP="00D97A81">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rPr>
            </w:pPr>
            <w:r>
              <w:rPr>
                <w:rFonts w:ascii="Arial Narrow" w:eastAsia="Times New Roman" w:hAnsi="Arial Narrow" w:cs="Times New Roman"/>
                <w:color w:val="000000"/>
              </w:rPr>
              <w:t xml:space="preserve">FY </w:t>
            </w:r>
            <w:r w:rsidR="00D97A81" w:rsidRPr="00D97A81">
              <w:rPr>
                <w:rFonts w:ascii="Arial Narrow" w:eastAsia="Times New Roman" w:hAnsi="Arial Narrow" w:cs="Times New Roman"/>
                <w:color w:val="000000"/>
              </w:rPr>
              <w:t>2006-07</w:t>
            </w:r>
            <w:r w:rsidR="00D97A81" w:rsidRPr="00D97A81">
              <w:rPr>
                <w:rFonts w:ascii="Arial Narrow" w:eastAsia="Times New Roman" w:hAnsi="Arial Narrow" w:cs="Times New Roman"/>
                <w:color w:val="000000"/>
              </w:rPr>
              <w:br/>
              <w:t>All Students</w:t>
            </w:r>
          </w:p>
        </w:tc>
        <w:tc>
          <w:tcPr>
            <w:tcW w:w="168" w:type="pct"/>
            <w:noWrap/>
            <w:hideMark/>
          </w:tcPr>
          <w:p w:rsidR="00D97A81" w:rsidRPr="00D97A81" w:rsidRDefault="00D97A81" w:rsidP="00D97A81">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rPr>
            </w:pPr>
          </w:p>
        </w:tc>
        <w:tc>
          <w:tcPr>
            <w:tcW w:w="2014" w:type="pct"/>
            <w:gridSpan w:val="2"/>
            <w:hideMark/>
          </w:tcPr>
          <w:p w:rsidR="00D97A81" w:rsidRPr="00D97A81" w:rsidRDefault="00BA1C80" w:rsidP="00D97A81">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rPr>
            </w:pPr>
            <w:r>
              <w:rPr>
                <w:rFonts w:ascii="Arial Narrow" w:eastAsia="Times New Roman" w:hAnsi="Arial Narrow" w:cs="Times New Roman"/>
                <w:color w:val="000000"/>
              </w:rPr>
              <w:t xml:space="preserve">FY </w:t>
            </w:r>
            <w:r w:rsidR="00D97A81" w:rsidRPr="00D97A81">
              <w:rPr>
                <w:rFonts w:ascii="Arial Narrow" w:eastAsia="Times New Roman" w:hAnsi="Arial Narrow" w:cs="Times New Roman"/>
                <w:color w:val="000000"/>
              </w:rPr>
              <w:t>2015-16</w:t>
            </w:r>
            <w:r w:rsidR="00D97A81" w:rsidRPr="00D97A81">
              <w:rPr>
                <w:rFonts w:ascii="Arial Narrow" w:eastAsia="Times New Roman" w:hAnsi="Arial Narrow" w:cs="Times New Roman"/>
                <w:color w:val="000000"/>
              </w:rPr>
              <w:br/>
              <w:t>All Students</w:t>
            </w:r>
          </w:p>
        </w:tc>
      </w:tr>
      <w:tr w:rsidR="005D6A12" w:rsidRPr="005D6A12" w:rsidTr="000F0D9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65" w:type="pct"/>
            <w:noWrap/>
            <w:hideMark/>
          </w:tcPr>
          <w:p w:rsidR="00D97A81" w:rsidRPr="00D97A81" w:rsidRDefault="00D97A81" w:rsidP="00D97A81">
            <w:pPr>
              <w:rPr>
                <w:rFonts w:ascii="Arial Narrow" w:eastAsia="Times New Roman" w:hAnsi="Arial Narrow" w:cs="Times New Roman"/>
                <w:color w:val="000000"/>
              </w:rPr>
            </w:pPr>
            <w:r w:rsidRPr="00D97A81">
              <w:rPr>
                <w:rFonts w:ascii="Arial Narrow" w:eastAsia="Times New Roman" w:hAnsi="Arial Narrow" w:cs="Times New Roman"/>
                <w:color w:val="000000"/>
              </w:rPr>
              <w:t>Ins</w:t>
            </w:r>
            <w:r w:rsidRPr="005D6A12">
              <w:rPr>
                <w:rFonts w:ascii="Arial Narrow" w:eastAsia="Times New Roman" w:hAnsi="Arial Narrow" w:cs="Times New Roman"/>
                <w:color w:val="000000"/>
              </w:rPr>
              <w:t>t</w:t>
            </w:r>
            <w:r w:rsidRPr="00D97A81">
              <w:rPr>
                <w:rFonts w:ascii="Arial Narrow" w:eastAsia="Times New Roman" w:hAnsi="Arial Narrow" w:cs="Times New Roman"/>
                <w:color w:val="000000"/>
              </w:rPr>
              <w:t>itution</w:t>
            </w:r>
          </w:p>
        </w:tc>
        <w:tc>
          <w:tcPr>
            <w:tcW w:w="1116" w:type="pct"/>
            <w:noWrap/>
            <w:hideMark/>
          </w:tcPr>
          <w:p w:rsidR="00D97A81" w:rsidRPr="00D97A81" w:rsidRDefault="00D97A81" w:rsidP="005D6A12">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rPr>
            </w:pPr>
            <w:r w:rsidRPr="00D97A81">
              <w:rPr>
                <w:rFonts w:ascii="Arial Narrow" w:eastAsia="Times New Roman" w:hAnsi="Arial Narrow" w:cs="Times New Roman"/>
                <w:color w:val="000000"/>
              </w:rPr>
              <w:t>$ Waived</w:t>
            </w:r>
          </w:p>
        </w:tc>
        <w:tc>
          <w:tcPr>
            <w:tcW w:w="837" w:type="pct"/>
            <w:noWrap/>
            <w:hideMark/>
          </w:tcPr>
          <w:p w:rsidR="00D97A81" w:rsidRPr="00D97A81" w:rsidRDefault="00D97A81" w:rsidP="005D6A12">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rPr>
            </w:pPr>
            <w:r w:rsidRPr="00D97A81">
              <w:rPr>
                <w:rFonts w:ascii="Arial Narrow" w:eastAsia="Times New Roman" w:hAnsi="Arial Narrow" w:cs="Times New Roman"/>
                <w:color w:val="000000"/>
              </w:rPr>
              <w:t>% Waived</w:t>
            </w:r>
          </w:p>
        </w:tc>
        <w:tc>
          <w:tcPr>
            <w:tcW w:w="168" w:type="pct"/>
            <w:noWrap/>
            <w:hideMark/>
          </w:tcPr>
          <w:p w:rsidR="00D97A81" w:rsidRPr="00D97A81" w:rsidRDefault="00D97A81" w:rsidP="00D97A8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rPr>
            </w:pPr>
          </w:p>
        </w:tc>
        <w:tc>
          <w:tcPr>
            <w:tcW w:w="1264" w:type="pct"/>
            <w:noWrap/>
            <w:hideMark/>
          </w:tcPr>
          <w:p w:rsidR="00D97A81" w:rsidRPr="00D97A81" w:rsidRDefault="00D97A81" w:rsidP="005D6A12">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rPr>
            </w:pPr>
            <w:r w:rsidRPr="00D97A81">
              <w:rPr>
                <w:rFonts w:ascii="Arial Narrow" w:eastAsia="Times New Roman" w:hAnsi="Arial Narrow" w:cs="Times New Roman"/>
                <w:color w:val="000000"/>
              </w:rPr>
              <w:t>$ Waived</w:t>
            </w:r>
          </w:p>
        </w:tc>
        <w:tc>
          <w:tcPr>
            <w:tcW w:w="750" w:type="pct"/>
            <w:noWrap/>
            <w:hideMark/>
          </w:tcPr>
          <w:p w:rsidR="00D97A81" w:rsidRPr="00D97A81" w:rsidRDefault="00D97A81" w:rsidP="005D6A12">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rPr>
            </w:pPr>
            <w:r w:rsidRPr="00D97A81">
              <w:rPr>
                <w:rFonts w:ascii="Arial Narrow" w:eastAsia="Times New Roman" w:hAnsi="Arial Narrow" w:cs="Times New Roman"/>
                <w:color w:val="000000"/>
              </w:rPr>
              <w:t>% Waived</w:t>
            </w:r>
          </w:p>
        </w:tc>
      </w:tr>
      <w:tr w:rsidR="00D97A81" w:rsidRPr="00D97A81" w:rsidTr="000F0D97">
        <w:trPr>
          <w:trHeight w:val="288"/>
        </w:trPr>
        <w:tc>
          <w:tcPr>
            <w:cnfStyle w:val="001000000000" w:firstRow="0" w:lastRow="0" w:firstColumn="1" w:lastColumn="0" w:oddVBand="0" w:evenVBand="0" w:oddHBand="0" w:evenHBand="0" w:firstRowFirstColumn="0" w:firstRowLastColumn="0" w:lastRowFirstColumn="0" w:lastRowLastColumn="0"/>
            <w:tcW w:w="865" w:type="pct"/>
            <w:noWrap/>
            <w:hideMark/>
          </w:tcPr>
          <w:p w:rsidR="00D97A81" w:rsidRPr="00D97A81" w:rsidRDefault="00D97A81" w:rsidP="00D97A81">
            <w:pPr>
              <w:rPr>
                <w:rFonts w:ascii="Arial Narrow" w:eastAsia="Times New Roman" w:hAnsi="Arial Narrow" w:cs="Times New Roman"/>
                <w:color w:val="000000"/>
              </w:rPr>
            </w:pPr>
            <w:r w:rsidRPr="00D97A81">
              <w:rPr>
                <w:rFonts w:ascii="Arial Narrow" w:eastAsia="Times New Roman" w:hAnsi="Arial Narrow" w:cs="Times New Roman"/>
                <w:color w:val="000000"/>
              </w:rPr>
              <w:t>Utah</w:t>
            </w:r>
          </w:p>
        </w:tc>
        <w:tc>
          <w:tcPr>
            <w:tcW w:w="1116" w:type="pct"/>
            <w:noWrap/>
            <w:hideMark/>
          </w:tcPr>
          <w:p w:rsidR="00D97A81" w:rsidRPr="00D97A81" w:rsidRDefault="00D97A81" w:rsidP="005D6A1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rPr>
            </w:pPr>
            <w:r w:rsidRPr="00D97A81">
              <w:rPr>
                <w:rFonts w:ascii="Arial Narrow" w:eastAsia="Times New Roman" w:hAnsi="Arial Narrow" w:cs="Times New Roman"/>
                <w:color w:val="000000"/>
              </w:rPr>
              <w:t>9,361,791</w:t>
            </w:r>
          </w:p>
        </w:tc>
        <w:tc>
          <w:tcPr>
            <w:tcW w:w="837" w:type="pct"/>
            <w:noWrap/>
            <w:hideMark/>
          </w:tcPr>
          <w:p w:rsidR="00D97A81" w:rsidRPr="00D97A81" w:rsidRDefault="00D97A81" w:rsidP="00D97A81">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rPr>
            </w:pPr>
            <w:r w:rsidRPr="00D97A81">
              <w:rPr>
                <w:rFonts w:ascii="Arial Narrow" w:eastAsia="Times New Roman" w:hAnsi="Arial Narrow" w:cs="Times New Roman"/>
                <w:color w:val="000000"/>
              </w:rPr>
              <w:t>6.9%</w:t>
            </w:r>
          </w:p>
        </w:tc>
        <w:tc>
          <w:tcPr>
            <w:tcW w:w="168" w:type="pct"/>
            <w:noWrap/>
            <w:hideMark/>
          </w:tcPr>
          <w:p w:rsidR="00D97A81" w:rsidRPr="00D97A81" w:rsidRDefault="00D97A81" w:rsidP="00D97A81">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rPr>
            </w:pPr>
          </w:p>
        </w:tc>
        <w:tc>
          <w:tcPr>
            <w:tcW w:w="1264" w:type="pct"/>
            <w:noWrap/>
            <w:hideMark/>
          </w:tcPr>
          <w:p w:rsidR="00D97A81" w:rsidRPr="00D97A81" w:rsidRDefault="00D97A81" w:rsidP="005D6A1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rPr>
            </w:pPr>
            <w:r w:rsidRPr="00D97A81">
              <w:rPr>
                <w:rFonts w:ascii="Arial Narrow" w:eastAsia="Times New Roman" w:hAnsi="Arial Narrow" w:cs="Times New Roman"/>
                <w:color w:val="000000"/>
              </w:rPr>
              <w:t xml:space="preserve">          22,710,508 </w:t>
            </w:r>
          </w:p>
        </w:tc>
        <w:tc>
          <w:tcPr>
            <w:tcW w:w="750" w:type="pct"/>
            <w:noWrap/>
            <w:hideMark/>
          </w:tcPr>
          <w:p w:rsidR="00D97A81" w:rsidRPr="00D97A81" w:rsidRDefault="00D97A81" w:rsidP="00D97A81">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rPr>
            </w:pPr>
            <w:r w:rsidRPr="00D97A81">
              <w:rPr>
                <w:rFonts w:ascii="Arial Narrow" w:eastAsia="Times New Roman" w:hAnsi="Arial Narrow" w:cs="Times New Roman"/>
                <w:color w:val="000000"/>
              </w:rPr>
              <w:t>7.3%</w:t>
            </w:r>
          </w:p>
        </w:tc>
      </w:tr>
      <w:tr w:rsidR="005D6A12" w:rsidRPr="005D6A12" w:rsidTr="000F0D9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65" w:type="pct"/>
            <w:noWrap/>
            <w:hideMark/>
          </w:tcPr>
          <w:p w:rsidR="00D97A81" w:rsidRPr="00D97A81" w:rsidRDefault="00D97A81" w:rsidP="00D97A81">
            <w:pPr>
              <w:rPr>
                <w:rFonts w:ascii="Arial Narrow" w:eastAsia="Times New Roman" w:hAnsi="Arial Narrow" w:cs="Times New Roman"/>
                <w:color w:val="000000"/>
              </w:rPr>
            </w:pPr>
            <w:r w:rsidRPr="00D97A81">
              <w:rPr>
                <w:rFonts w:ascii="Arial Narrow" w:eastAsia="Times New Roman" w:hAnsi="Arial Narrow" w:cs="Times New Roman"/>
                <w:color w:val="000000"/>
              </w:rPr>
              <w:t>USU</w:t>
            </w:r>
          </w:p>
        </w:tc>
        <w:tc>
          <w:tcPr>
            <w:tcW w:w="1116" w:type="pct"/>
            <w:noWrap/>
            <w:hideMark/>
          </w:tcPr>
          <w:p w:rsidR="00D97A81" w:rsidRPr="00D97A81" w:rsidRDefault="00D97A81" w:rsidP="005D6A12">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rPr>
            </w:pPr>
            <w:r w:rsidRPr="00D97A81">
              <w:rPr>
                <w:rFonts w:ascii="Arial Narrow" w:eastAsia="Times New Roman" w:hAnsi="Arial Narrow" w:cs="Times New Roman"/>
                <w:color w:val="000000"/>
              </w:rPr>
              <w:t>13,555,184</w:t>
            </w:r>
          </w:p>
        </w:tc>
        <w:tc>
          <w:tcPr>
            <w:tcW w:w="837" w:type="pct"/>
            <w:noWrap/>
            <w:hideMark/>
          </w:tcPr>
          <w:p w:rsidR="00D97A81" w:rsidRPr="00D97A81" w:rsidRDefault="00D97A81" w:rsidP="00D97A81">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rPr>
            </w:pPr>
            <w:r w:rsidRPr="00D97A81">
              <w:rPr>
                <w:rFonts w:ascii="Arial Narrow" w:eastAsia="Times New Roman" w:hAnsi="Arial Narrow" w:cs="Times New Roman"/>
                <w:color w:val="000000"/>
              </w:rPr>
              <w:t>18.3%</w:t>
            </w:r>
          </w:p>
        </w:tc>
        <w:tc>
          <w:tcPr>
            <w:tcW w:w="168" w:type="pct"/>
            <w:noWrap/>
            <w:hideMark/>
          </w:tcPr>
          <w:p w:rsidR="00D97A81" w:rsidRPr="00D97A81" w:rsidRDefault="00D97A81" w:rsidP="00D97A81">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rPr>
            </w:pPr>
          </w:p>
        </w:tc>
        <w:tc>
          <w:tcPr>
            <w:tcW w:w="1264" w:type="pct"/>
            <w:noWrap/>
            <w:hideMark/>
          </w:tcPr>
          <w:p w:rsidR="00D97A81" w:rsidRPr="00D97A81" w:rsidRDefault="00D97A81" w:rsidP="005D6A12">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rPr>
            </w:pPr>
            <w:r w:rsidRPr="00D97A81">
              <w:rPr>
                <w:rFonts w:ascii="Arial Narrow" w:eastAsia="Times New Roman" w:hAnsi="Arial Narrow" w:cs="Times New Roman"/>
                <w:color w:val="000000"/>
              </w:rPr>
              <w:t xml:space="preserve">          41,575,334 </w:t>
            </w:r>
          </w:p>
        </w:tc>
        <w:tc>
          <w:tcPr>
            <w:tcW w:w="750" w:type="pct"/>
            <w:noWrap/>
            <w:hideMark/>
          </w:tcPr>
          <w:p w:rsidR="00D97A81" w:rsidRPr="00D97A81" w:rsidRDefault="00D97A81" w:rsidP="00D97A81">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rPr>
            </w:pPr>
            <w:r w:rsidRPr="00D97A81">
              <w:rPr>
                <w:rFonts w:ascii="Arial Narrow" w:eastAsia="Times New Roman" w:hAnsi="Arial Narrow" w:cs="Times New Roman"/>
                <w:color w:val="000000"/>
              </w:rPr>
              <w:t>23.4%</w:t>
            </w:r>
          </w:p>
        </w:tc>
      </w:tr>
      <w:tr w:rsidR="00D97A81" w:rsidRPr="00D97A81" w:rsidTr="000F0D97">
        <w:trPr>
          <w:trHeight w:val="288"/>
        </w:trPr>
        <w:tc>
          <w:tcPr>
            <w:cnfStyle w:val="001000000000" w:firstRow="0" w:lastRow="0" w:firstColumn="1" w:lastColumn="0" w:oddVBand="0" w:evenVBand="0" w:oddHBand="0" w:evenHBand="0" w:firstRowFirstColumn="0" w:firstRowLastColumn="0" w:lastRowFirstColumn="0" w:lastRowLastColumn="0"/>
            <w:tcW w:w="865" w:type="pct"/>
            <w:noWrap/>
            <w:hideMark/>
          </w:tcPr>
          <w:p w:rsidR="00D97A81" w:rsidRPr="00D97A81" w:rsidRDefault="00D97A81" w:rsidP="00D97A81">
            <w:pPr>
              <w:rPr>
                <w:rFonts w:ascii="Arial Narrow" w:eastAsia="Times New Roman" w:hAnsi="Arial Narrow" w:cs="Times New Roman"/>
                <w:color w:val="000000"/>
              </w:rPr>
            </w:pPr>
            <w:r w:rsidRPr="00D97A81">
              <w:rPr>
                <w:rFonts w:ascii="Arial Narrow" w:eastAsia="Times New Roman" w:hAnsi="Arial Narrow" w:cs="Times New Roman"/>
                <w:color w:val="000000"/>
              </w:rPr>
              <w:t>WSU</w:t>
            </w:r>
          </w:p>
        </w:tc>
        <w:tc>
          <w:tcPr>
            <w:tcW w:w="1116" w:type="pct"/>
            <w:noWrap/>
            <w:hideMark/>
          </w:tcPr>
          <w:p w:rsidR="00D97A81" w:rsidRPr="00D97A81" w:rsidRDefault="00D97A81" w:rsidP="005D6A1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rPr>
            </w:pPr>
            <w:r w:rsidRPr="00D97A81">
              <w:rPr>
                <w:rFonts w:ascii="Arial Narrow" w:eastAsia="Times New Roman" w:hAnsi="Arial Narrow" w:cs="Times New Roman"/>
                <w:color w:val="000000"/>
              </w:rPr>
              <w:t>4,968,379</w:t>
            </w:r>
          </w:p>
        </w:tc>
        <w:tc>
          <w:tcPr>
            <w:tcW w:w="837" w:type="pct"/>
            <w:noWrap/>
            <w:hideMark/>
          </w:tcPr>
          <w:p w:rsidR="00D97A81" w:rsidRPr="00D97A81" w:rsidRDefault="00D97A81" w:rsidP="00D97A81">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rPr>
            </w:pPr>
            <w:r w:rsidRPr="00D97A81">
              <w:rPr>
                <w:rFonts w:ascii="Arial Narrow" w:eastAsia="Times New Roman" w:hAnsi="Arial Narrow" w:cs="Times New Roman"/>
                <w:color w:val="000000"/>
              </w:rPr>
              <w:t>11.0%</w:t>
            </w:r>
          </w:p>
        </w:tc>
        <w:tc>
          <w:tcPr>
            <w:tcW w:w="168" w:type="pct"/>
            <w:noWrap/>
            <w:hideMark/>
          </w:tcPr>
          <w:p w:rsidR="00D97A81" w:rsidRPr="00D97A81" w:rsidRDefault="00D97A81" w:rsidP="00D97A81">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rPr>
            </w:pPr>
          </w:p>
        </w:tc>
        <w:tc>
          <w:tcPr>
            <w:tcW w:w="1264" w:type="pct"/>
            <w:noWrap/>
            <w:hideMark/>
          </w:tcPr>
          <w:p w:rsidR="00D97A81" w:rsidRPr="00D97A81" w:rsidRDefault="00D97A81" w:rsidP="005D6A1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rPr>
            </w:pPr>
            <w:r w:rsidRPr="00D97A81">
              <w:rPr>
                <w:rFonts w:ascii="Arial Narrow" w:eastAsia="Times New Roman" w:hAnsi="Arial Narrow" w:cs="Times New Roman"/>
                <w:color w:val="000000"/>
              </w:rPr>
              <w:t xml:space="preserve">          13,164,218 </w:t>
            </w:r>
          </w:p>
        </w:tc>
        <w:tc>
          <w:tcPr>
            <w:tcW w:w="750" w:type="pct"/>
            <w:noWrap/>
            <w:hideMark/>
          </w:tcPr>
          <w:p w:rsidR="00D97A81" w:rsidRPr="00D97A81" w:rsidRDefault="00D97A81" w:rsidP="00D97A81">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rPr>
            </w:pPr>
            <w:r w:rsidRPr="00D97A81">
              <w:rPr>
                <w:rFonts w:ascii="Arial Narrow" w:eastAsia="Times New Roman" w:hAnsi="Arial Narrow" w:cs="Times New Roman"/>
                <w:color w:val="000000"/>
              </w:rPr>
              <w:t>16.0%</w:t>
            </w:r>
          </w:p>
        </w:tc>
      </w:tr>
      <w:tr w:rsidR="005D6A12" w:rsidRPr="005D6A12" w:rsidTr="000F0D9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65" w:type="pct"/>
            <w:noWrap/>
            <w:hideMark/>
          </w:tcPr>
          <w:p w:rsidR="00D97A81" w:rsidRPr="00D97A81" w:rsidRDefault="00D97A81" w:rsidP="00D97A81">
            <w:pPr>
              <w:rPr>
                <w:rFonts w:ascii="Arial Narrow" w:eastAsia="Times New Roman" w:hAnsi="Arial Narrow" w:cs="Times New Roman"/>
                <w:color w:val="000000"/>
              </w:rPr>
            </w:pPr>
            <w:r w:rsidRPr="00D97A81">
              <w:rPr>
                <w:rFonts w:ascii="Arial Narrow" w:eastAsia="Times New Roman" w:hAnsi="Arial Narrow" w:cs="Times New Roman"/>
                <w:color w:val="000000"/>
              </w:rPr>
              <w:t>SUU</w:t>
            </w:r>
          </w:p>
        </w:tc>
        <w:tc>
          <w:tcPr>
            <w:tcW w:w="1116" w:type="pct"/>
            <w:noWrap/>
            <w:hideMark/>
          </w:tcPr>
          <w:p w:rsidR="00D97A81" w:rsidRPr="00D97A81" w:rsidRDefault="00D97A81" w:rsidP="005D6A12">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rPr>
            </w:pPr>
            <w:r w:rsidRPr="00D97A81">
              <w:rPr>
                <w:rFonts w:ascii="Arial Narrow" w:eastAsia="Times New Roman" w:hAnsi="Arial Narrow" w:cs="Times New Roman"/>
                <w:color w:val="000000"/>
              </w:rPr>
              <w:t>3,390,733</w:t>
            </w:r>
          </w:p>
        </w:tc>
        <w:tc>
          <w:tcPr>
            <w:tcW w:w="837" w:type="pct"/>
            <w:noWrap/>
            <w:hideMark/>
          </w:tcPr>
          <w:p w:rsidR="00D97A81" w:rsidRPr="00D97A81" w:rsidRDefault="00D97A81" w:rsidP="00D97A81">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rPr>
            </w:pPr>
            <w:r w:rsidRPr="00D97A81">
              <w:rPr>
                <w:rFonts w:ascii="Arial Narrow" w:eastAsia="Times New Roman" w:hAnsi="Arial Narrow" w:cs="Times New Roman"/>
                <w:color w:val="000000"/>
              </w:rPr>
              <w:t>15.3%</w:t>
            </w:r>
          </w:p>
        </w:tc>
        <w:tc>
          <w:tcPr>
            <w:tcW w:w="168" w:type="pct"/>
            <w:noWrap/>
            <w:hideMark/>
          </w:tcPr>
          <w:p w:rsidR="00D97A81" w:rsidRPr="00D97A81" w:rsidRDefault="00D97A81" w:rsidP="00D97A81">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rPr>
            </w:pPr>
          </w:p>
        </w:tc>
        <w:tc>
          <w:tcPr>
            <w:tcW w:w="1264" w:type="pct"/>
            <w:noWrap/>
            <w:hideMark/>
          </w:tcPr>
          <w:p w:rsidR="00D97A81" w:rsidRPr="00D97A81" w:rsidRDefault="00D97A81" w:rsidP="005D6A12">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rPr>
            </w:pPr>
            <w:r w:rsidRPr="00D97A81">
              <w:rPr>
                <w:rFonts w:ascii="Arial Narrow" w:eastAsia="Times New Roman" w:hAnsi="Arial Narrow" w:cs="Times New Roman"/>
                <w:color w:val="000000"/>
              </w:rPr>
              <w:t xml:space="preserve">          13,274,411 </w:t>
            </w:r>
          </w:p>
        </w:tc>
        <w:tc>
          <w:tcPr>
            <w:tcW w:w="750" w:type="pct"/>
            <w:noWrap/>
            <w:hideMark/>
          </w:tcPr>
          <w:p w:rsidR="00D97A81" w:rsidRPr="00D97A81" w:rsidRDefault="00D97A81" w:rsidP="00D97A81">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rPr>
            </w:pPr>
            <w:r w:rsidRPr="00D97A81">
              <w:rPr>
                <w:rFonts w:ascii="Arial Narrow" w:eastAsia="Times New Roman" w:hAnsi="Arial Narrow" w:cs="Times New Roman"/>
                <w:color w:val="000000"/>
              </w:rPr>
              <w:t>26.0%</w:t>
            </w:r>
          </w:p>
        </w:tc>
      </w:tr>
      <w:tr w:rsidR="00D97A81" w:rsidRPr="00D97A81" w:rsidTr="000F0D97">
        <w:trPr>
          <w:trHeight w:val="288"/>
        </w:trPr>
        <w:tc>
          <w:tcPr>
            <w:cnfStyle w:val="001000000000" w:firstRow="0" w:lastRow="0" w:firstColumn="1" w:lastColumn="0" w:oddVBand="0" w:evenVBand="0" w:oddHBand="0" w:evenHBand="0" w:firstRowFirstColumn="0" w:firstRowLastColumn="0" w:lastRowFirstColumn="0" w:lastRowLastColumn="0"/>
            <w:tcW w:w="865" w:type="pct"/>
            <w:noWrap/>
            <w:hideMark/>
          </w:tcPr>
          <w:p w:rsidR="00D97A81" w:rsidRPr="00D97A81" w:rsidRDefault="00D97A81" w:rsidP="00D97A81">
            <w:pPr>
              <w:rPr>
                <w:rFonts w:ascii="Arial Narrow" w:eastAsia="Times New Roman" w:hAnsi="Arial Narrow" w:cs="Times New Roman"/>
                <w:color w:val="000000"/>
              </w:rPr>
            </w:pPr>
            <w:r w:rsidRPr="00D97A81">
              <w:rPr>
                <w:rFonts w:ascii="Arial Narrow" w:eastAsia="Times New Roman" w:hAnsi="Arial Narrow" w:cs="Times New Roman"/>
                <w:color w:val="000000"/>
              </w:rPr>
              <w:t>SNOW</w:t>
            </w:r>
          </w:p>
        </w:tc>
        <w:tc>
          <w:tcPr>
            <w:tcW w:w="1116" w:type="pct"/>
            <w:noWrap/>
            <w:hideMark/>
          </w:tcPr>
          <w:p w:rsidR="00D97A81" w:rsidRPr="00D97A81" w:rsidRDefault="00D97A81" w:rsidP="005D6A1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rPr>
            </w:pPr>
            <w:r w:rsidRPr="00D97A81">
              <w:rPr>
                <w:rFonts w:ascii="Arial Narrow" w:eastAsia="Times New Roman" w:hAnsi="Arial Narrow" w:cs="Times New Roman"/>
                <w:color w:val="000000"/>
              </w:rPr>
              <w:t>632,634</w:t>
            </w:r>
          </w:p>
        </w:tc>
        <w:tc>
          <w:tcPr>
            <w:tcW w:w="837" w:type="pct"/>
            <w:noWrap/>
            <w:hideMark/>
          </w:tcPr>
          <w:p w:rsidR="00D97A81" w:rsidRPr="00D97A81" w:rsidRDefault="00D97A81" w:rsidP="00D97A81">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rPr>
            </w:pPr>
            <w:r w:rsidRPr="00D97A81">
              <w:rPr>
                <w:rFonts w:ascii="Arial Narrow" w:eastAsia="Times New Roman" w:hAnsi="Arial Narrow" w:cs="Times New Roman"/>
                <w:color w:val="000000"/>
              </w:rPr>
              <w:t>11.8%</w:t>
            </w:r>
          </w:p>
        </w:tc>
        <w:tc>
          <w:tcPr>
            <w:tcW w:w="168" w:type="pct"/>
            <w:noWrap/>
            <w:hideMark/>
          </w:tcPr>
          <w:p w:rsidR="00D97A81" w:rsidRPr="00D97A81" w:rsidRDefault="00D97A81" w:rsidP="00D97A81">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rPr>
            </w:pPr>
          </w:p>
        </w:tc>
        <w:tc>
          <w:tcPr>
            <w:tcW w:w="1264" w:type="pct"/>
            <w:noWrap/>
            <w:hideMark/>
          </w:tcPr>
          <w:p w:rsidR="00D97A81" w:rsidRPr="00D97A81" w:rsidRDefault="00D97A81" w:rsidP="005D6A1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rPr>
            </w:pPr>
            <w:r w:rsidRPr="00D97A81">
              <w:rPr>
                <w:rFonts w:ascii="Arial Narrow" w:eastAsia="Times New Roman" w:hAnsi="Arial Narrow" w:cs="Times New Roman"/>
                <w:color w:val="000000"/>
              </w:rPr>
              <w:t xml:space="preserve">            2,278,656 </w:t>
            </w:r>
          </w:p>
        </w:tc>
        <w:tc>
          <w:tcPr>
            <w:tcW w:w="750" w:type="pct"/>
            <w:noWrap/>
            <w:hideMark/>
          </w:tcPr>
          <w:p w:rsidR="00D97A81" w:rsidRPr="00D97A81" w:rsidRDefault="00D97A81" w:rsidP="00D97A81">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rPr>
            </w:pPr>
            <w:r w:rsidRPr="00D97A81">
              <w:rPr>
                <w:rFonts w:ascii="Arial Narrow" w:eastAsia="Times New Roman" w:hAnsi="Arial Narrow" w:cs="Times New Roman"/>
                <w:color w:val="000000"/>
              </w:rPr>
              <w:t>18.2%</w:t>
            </w:r>
          </w:p>
        </w:tc>
      </w:tr>
      <w:tr w:rsidR="005D6A12" w:rsidRPr="005D6A12" w:rsidTr="000F0D9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65" w:type="pct"/>
            <w:noWrap/>
            <w:hideMark/>
          </w:tcPr>
          <w:p w:rsidR="00D97A81" w:rsidRPr="00D97A81" w:rsidRDefault="00D97A81" w:rsidP="00D97A81">
            <w:pPr>
              <w:rPr>
                <w:rFonts w:ascii="Arial Narrow" w:eastAsia="Times New Roman" w:hAnsi="Arial Narrow" w:cs="Times New Roman"/>
                <w:color w:val="000000"/>
              </w:rPr>
            </w:pPr>
            <w:r w:rsidRPr="00D97A81">
              <w:rPr>
                <w:rFonts w:ascii="Arial Narrow" w:eastAsia="Times New Roman" w:hAnsi="Arial Narrow" w:cs="Times New Roman"/>
                <w:color w:val="000000"/>
              </w:rPr>
              <w:t>DSU</w:t>
            </w:r>
          </w:p>
        </w:tc>
        <w:tc>
          <w:tcPr>
            <w:tcW w:w="1116" w:type="pct"/>
            <w:noWrap/>
            <w:hideMark/>
          </w:tcPr>
          <w:p w:rsidR="00D97A81" w:rsidRPr="00D97A81" w:rsidRDefault="00D97A81" w:rsidP="005D6A12">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rPr>
            </w:pPr>
            <w:r w:rsidRPr="00D97A81">
              <w:rPr>
                <w:rFonts w:ascii="Arial Narrow" w:eastAsia="Times New Roman" w:hAnsi="Arial Narrow" w:cs="Times New Roman"/>
                <w:color w:val="000000"/>
              </w:rPr>
              <w:t>2,183,061</w:t>
            </w:r>
          </w:p>
        </w:tc>
        <w:tc>
          <w:tcPr>
            <w:tcW w:w="837" w:type="pct"/>
            <w:noWrap/>
            <w:hideMark/>
          </w:tcPr>
          <w:p w:rsidR="00D97A81" w:rsidRPr="00D97A81" w:rsidRDefault="00D97A81" w:rsidP="00D97A81">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rPr>
            </w:pPr>
            <w:r w:rsidRPr="00D97A81">
              <w:rPr>
                <w:rFonts w:ascii="Arial Narrow" w:eastAsia="Times New Roman" w:hAnsi="Arial Narrow" w:cs="Times New Roman"/>
                <w:color w:val="000000"/>
              </w:rPr>
              <w:t>20.7%</w:t>
            </w:r>
          </w:p>
        </w:tc>
        <w:tc>
          <w:tcPr>
            <w:tcW w:w="168" w:type="pct"/>
            <w:noWrap/>
            <w:hideMark/>
          </w:tcPr>
          <w:p w:rsidR="00D97A81" w:rsidRPr="00D97A81" w:rsidRDefault="00D97A81" w:rsidP="00D97A81">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rPr>
            </w:pPr>
          </w:p>
        </w:tc>
        <w:tc>
          <w:tcPr>
            <w:tcW w:w="1264" w:type="pct"/>
            <w:noWrap/>
            <w:hideMark/>
          </w:tcPr>
          <w:p w:rsidR="00D97A81" w:rsidRPr="00D97A81" w:rsidRDefault="00D97A81" w:rsidP="005D6A12">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rPr>
            </w:pPr>
            <w:r w:rsidRPr="00D97A81">
              <w:rPr>
                <w:rFonts w:ascii="Arial Narrow" w:eastAsia="Times New Roman" w:hAnsi="Arial Narrow" w:cs="Times New Roman"/>
                <w:color w:val="000000"/>
              </w:rPr>
              <w:t xml:space="preserve">            7,342,227 </w:t>
            </w:r>
          </w:p>
        </w:tc>
        <w:tc>
          <w:tcPr>
            <w:tcW w:w="750" w:type="pct"/>
            <w:noWrap/>
            <w:hideMark/>
          </w:tcPr>
          <w:p w:rsidR="00D97A81" w:rsidRPr="00D97A81" w:rsidRDefault="00D97A81" w:rsidP="00D97A81">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rPr>
            </w:pPr>
            <w:r w:rsidRPr="00D97A81">
              <w:rPr>
                <w:rFonts w:ascii="Arial Narrow" w:eastAsia="Times New Roman" w:hAnsi="Arial Narrow" w:cs="Times New Roman"/>
                <w:color w:val="000000"/>
              </w:rPr>
              <w:t>21.9%</w:t>
            </w:r>
          </w:p>
        </w:tc>
      </w:tr>
      <w:tr w:rsidR="00D97A81" w:rsidRPr="00D97A81" w:rsidTr="000F0D97">
        <w:trPr>
          <w:trHeight w:val="288"/>
        </w:trPr>
        <w:tc>
          <w:tcPr>
            <w:cnfStyle w:val="001000000000" w:firstRow="0" w:lastRow="0" w:firstColumn="1" w:lastColumn="0" w:oddVBand="0" w:evenVBand="0" w:oddHBand="0" w:evenHBand="0" w:firstRowFirstColumn="0" w:firstRowLastColumn="0" w:lastRowFirstColumn="0" w:lastRowLastColumn="0"/>
            <w:tcW w:w="865" w:type="pct"/>
            <w:noWrap/>
            <w:hideMark/>
          </w:tcPr>
          <w:p w:rsidR="00D97A81" w:rsidRPr="00D97A81" w:rsidRDefault="00D97A81" w:rsidP="00D97A81">
            <w:pPr>
              <w:rPr>
                <w:rFonts w:ascii="Arial Narrow" w:eastAsia="Times New Roman" w:hAnsi="Arial Narrow" w:cs="Times New Roman"/>
                <w:color w:val="000000"/>
              </w:rPr>
            </w:pPr>
            <w:r w:rsidRPr="00D97A81">
              <w:rPr>
                <w:rFonts w:ascii="Arial Narrow" w:eastAsia="Times New Roman" w:hAnsi="Arial Narrow" w:cs="Times New Roman"/>
                <w:color w:val="000000"/>
              </w:rPr>
              <w:t>UVU</w:t>
            </w:r>
          </w:p>
        </w:tc>
        <w:tc>
          <w:tcPr>
            <w:tcW w:w="1116" w:type="pct"/>
            <w:noWrap/>
            <w:hideMark/>
          </w:tcPr>
          <w:p w:rsidR="00D97A81" w:rsidRPr="00D97A81" w:rsidRDefault="00D97A81" w:rsidP="005D6A1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rPr>
            </w:pPr>
            <w:r w:rsidRPr="00D97A81">
              <w:rPr>
                <w:rFonts w:ascii="Arial Narrow" w:eastAsia="Times New Roman" w:hAnsi="Arial Narrow" w:cs="Times New Roman"/>
                <w:color w:val="000000"/>
              </w:rPr>
              <w:t>4,255,919</w:t>
            </w:r>
          </w:p>
        </w:tc>
        <w:tc>
          <w:tcPr>
            <w:tcW w:w="837" w:type="pct"/>
            <w:noWrap/>
            <w:hideMark/>
          </w:tcPr>
          <w:p w:rsidR="00D97A81" w:rsidRPr="00D97A81" w:rsidRDefault="00D97A81" w:rsidP="00D97A81">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rPr>
            </w:pPr>
            <w:r w:rsidRPr="00D97A81">
              <w:rPr>
                <w:rFonts w:ascii="Arial Narrow" w:eastAsia="Times New Roman" w:hAnsi="Arial Narrow" w:cs="Times New Roman"/>
                <w:color w:val="000000"/>
              </w:rPr>
              <w:t>7.9%</w:t>
            </w:r>
          </w:p>
        </w:tc>
        <w:tc>
          <w:tcPr>
            <w:tcW w:w="168" w:type="pct"/>
            <w:noWrap/>
            <w:hideMark/>
          </w:tcPr>
          <w:p w:rsidR="00D97A81" w:rsidRPr="00D97A81" w:rsidRDefault="00D97A81" w:rsidP="00D97A81">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rPr>
            </w:pPr>
          </w:p>
        </w:tc>
        <w:tc>
          <w:tcPr>
            <w:tcW w:w="1264" w:type="pct"/>
            <w:noWrap/>
            <w:hideMark/>
          </w:tcPr>
          <w:p w:rsidR="00D97A81" w:rsidRPr="00D97A81" w:rsidRDefault="00D97A81" w:rsidP="005D6A1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rPr>
            </w:pPr>
            <w:r w:rsidRPr="00D97A81">
              <w:rPr>
                <w:rFonts w:ascii="Arial Narrow" w:eastAsia="Times New Roman" w:hAnsi="Arial Narrow" w:cs="Times New Roman"/>
                <w:color w:val="000000"/>
              </w:rPr>
              <w:t xml:space="preserve">          20,437,757 </w:t>
            </w:r>
          </w:p>
        </w:tc>
        <w:tc>
          <w:tcPr>
            <w:tcW w:w="750" w:type="pct"/>
            <w:noWrap/>
            <w:hideMark/>
          </w:tcPr>
          <w:p w:rsidR="00D97A81" w:rsidRPr="00D97A81" w:rsidRDefault="00D97A81" w:rsidP="00D97A81">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rPr>
            </w:pPr>
            <w:r w:rsidRPr="00D97A81">
              <w:rPr>
                <w:rFonts w:ascii="Arial Narrow" w:eastAsia="Times New Roman" w:hAnsi="Arial Narrow" w:cs="Times New Roman"/>
                <w:color w:val="000000"/>
              </w:rPr>
              <w:t>15.3%</w:t>
            </w:r>
          </w:p>
        </w:tc>
      </w:tr>
      <w:tr w:rsidR="005D6A12" w:rsidRPr="005D6A12" w:rsidTr="000F0D9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65" w:type="pct"/>
            <w:noWrap/>
            <w:hideMark/>
          </w:tcPr>
          <w:p w:rsidR="00D97A81" w:rsidRPr="00D97A81" w:rsidRDefault="00D97A81" w:rsidP="00D97A81">
            <w:pPr>
              <w:rPr>
                <w:rFonts w:ascii="Arial Narrow" w:eastAsia="Times New Roman" w:hAnsi="Arial Narrow" w:cs="Times New Roman"/>
                <w:color w:val="000000"/>
              </w:rPr>
            </w:pPr>
            <w:r w:rsidRPr="00D97A81">
              <w:rPr>
                <w:rFonts w:ascii="Arial Narrow" w:eastAsia="Times New Roman" w:hAnsi="Arial Narrow" w:cs="Times New Roman"/>
                <w:color w:val="000000"/>
              </w:rPr>
              <w:t>SLCC</w:t>
            </w:r>
          </w:p>
        </w:tc>
        <w:tc>
          <w:tcPr>
            <w:tcW w:w="1116" w:type="pct"/>
            <w:noWrap/>
            <w:hideMark/>
          </w:tcPr>
          <w:p w:rsidR="00D97A81" w:rsidRPr="00D97A81" w:rsidRDefault="00D97A81" w:rsidP="005D6A12">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rPr>
            </w:pPr>
            <w:r w:rsidRPr="00D97A81">
              <w:rPr>
                <w:rFonts w:ascii="Arial Narrow" w:eastAsia="Times New Roman" w:hAnsi="Arial Narrow" w:cs="Times New Roman"/>
                <w:color w:val="000000"/>
              </w:rPr>
              <w:t>2,155,322</w:t>
            </w:r>
          </w:p>
        </w:tc>
        <w:tc>
          <w:tcPr>
            <w:tcW w:w="837" w:type="pct"/>
            <w:noWrap/>
            <w:hideMark/>
          </w:tcPr>
          <w:p w:rsidR="00D97A81" w:rsidRPr="00D97A81" w:rsidRDefault="00D97A81" w:rsidP="00D97A81">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rPr>
            </w:pPr>
            <w:r w:rsidRPr="00D97A81">
              <w:rPr>
                <w:rFonts w:ascii="Arial Narrow" w:eastAsia="Times New Roman" w:hAnsi="Arial Narrow" w:cs="Times New Roman"/>
                <w:color w:val="000000"/>
              </w:rPr>
              <w:t>5.7%</w:t>
            </w:r>
          </w:p>
        </w:tc>
        <w:tc>
          <w:tcPr>
            <w:tcW w:w="168" w:type="pct"/>
            <w:noWrap/>
            <w:hideMark/>
          </w:tcPr>
          <w:p w:rsidR="00D97A81" w:rsidRPr="00D97A81" w:rsidRDefault="00D97A81" w:rsidP="00D97A81">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rPr>
            </w:pPr>
          </w:p>
        </w:tc>
        <w:tc>
          <w:tcPr>
            <w:tcW w:w="1264" w:type="pct"/>
            <w:noWrap/>
            <w:hideMark/>
          </w:tcPr>
          <w:p w:rsidR="00D97A81" w:rsidRPr="00D97A81" w:rsidRDefault="00D97A81" w:rsidP="005D6A12">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rPr>
            </w:pPr>
            <w:r w:rsidRPr="00D97A81">
              <w:rPr>
                <w:rFonts w:ascii="Arial Narrow" w:eastAsia="Times New Roman" w:hAnsi="Arial Narrow" w:cs="Times New Roman"/>
                <w:color w:val="000000"/>
              </w:rPr>
              <w:t xml:space="preserve">            5,044,311 </w:t>
            </w:r>
          </w:p>
        </w:tc>
        <w:tc>
          <w:tcPr>
            <w:tcW w:w="750" w:type="pct"/>
            <w:noWrap/>
            <w:hideMark/>
          </w:tcPr>
          <w:p w:rsidR="00D97A81" w:rsidRPr="00D97A81" w:rsidRDefault="00D97A81" w:rsidP="00D97A81">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rPr>
            </w:pPr>
            <w:r w:rsidRPr="00D97A81">
              <w:rPr>
                <w:rFonts w:ascii="Arial Narrow" w:eastAsia="Times New Roman" w:hAnsi="Arial Narrow" w:cs="Times New Roman"/>
                <w:color w:val="000000"/>
              </w:rPr>
              <w:t>8.2%</w:t>
            </w:r>
          </w:p>
        </w:tc>
      </w:tr>
      <w:tr w:rsidR="00D97A81" w:rsidRPr="00D97A81" w:rsidTr="000F0D97">
        <w:trPr>
          <w:trHeight w:val="288"/>
        </w:trPr>
        <w:tc>
          <w:tcPr>
            <w:cnfStyle w:val="001000000000" w:firstRow="0" w:lastRow="0" w:firstColumn="1" w:lastColumn="0" w:oddVBand="0" w:evenVBand="0" w:oddHBand="0" w:evenHBand="0" w:firstRowFirstColumn="0" w:firstRowLastColumn="0" w:lastRowFirstColumn="0" w:lastRowLastColumn="0"/>
            <w:tcW w:w="865" w:type="pct"/>
            <w:noWrap/>
            <w:hideMark/>
          </w:tcPr>
          <w:p w:rsidR="00D97A81" w:rsidRPr="00D97A81" w:rsidRDefault="00D97A81" w:rsidP="00D97A81">
            <w:pPr>
              <w:jc w:val="right"/>
              <w:rPr>
                <w:rFonts w:ascii="Arial Narrow" w:eastAsia="Times New Roman" w:hAnsi="Arial Narrow" w:cs="Times New Roman"/>
                <w:color w:val="000000"/>
              </w:rPr>
            </w:pPr>
            <w:r w:rsidRPr="00D97A81">
              <w:rPr>
                <w:rFonts w:ascii="Arial Narrow" w:eastAsia="Times New Roman" w:hAnsi="Arial Narrow" w:cs="Times New Roman"/>
                <w:color w:val="000000"/>
              </w:rPr>
              <w:t>USHE</w:t>
            </w:r>
          </w:p>
        </w:tc>
        <w:tc>
          <w:tcPr>
            <w:tcW w:w="1116" w:type="pct"/>
            <w:noWrap/>
            <w:hideMark/>
          </w:tcPr>
          <w:p w:rsidR="00D97A81" w:rsidRPr="00D97A81" w:rsidRDefault="00D97A81" w:rsidP="005D6A1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rPr>
            </w:pPr>
            <w:r w:rsidRPr="00D97A81">
              <w:rPr>
                <w:rFonts w:ascii="Arial Narrow" w:eastAsia="Times New Roman" w:hAnsi="Arial Narrow" w:cs="Times New Roman"/>
                <w:color w:val="000000"/>
              </w:rPr>
              <w:t>40,503,023</w:t>
            </w:r>
          </w:p>
        </w:tc>
        <w:tc>
          <w:tcPr>
            <w:tcW w:w="837" w:type="pct"/>
            <w:noWrap/>
            <w:hideMark/>
          </w:tcPr>
          <w:p w:rsidR="00D97A81" w:rsidRPr="00D97A81" w:rsidRDefault="00D97A81" w:rsidP="00D97A81">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rPr>
            </w:pPr>
            <w:r w:rsidRPr="00D97A81">
              <w:rPr>
                <w:rFonts w:ascii="Arial Narrow" w:eastAsia="Times New Roman" w:hAnsi="Arial Narrow" w:cs="Times New Roman"/>
                <w:color w:val="000000"/>
              </w:rPr>
              <w:t>10.5%</w:t>
            </w:r>
          </w:p>
        </w:tc>
        <w:tc>
          <w:tcPr>
            <w:tcW w:w="168" w:type="pct"/>
            <w:noWrap/>
            <w:hideMark/>
          </w:tcPr>
          <w:p w:rsidR="00D97A81" w:rsidRPr="00D97A81" w:rsidRDefault="00D97A81" w:rsidP="00D97A81">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rPr>
            </w:pPr>
          </w:p>
        </w:tc>
        <w:tc>
          <w:tcPr>
            <w:tcW w:w="1264" w:type="pct"/>
            <w:noWrap/>
            <w:hideMark/>
          </w:tcPr>
          <w:p w:rsidR="00D97A81" w:rsidRPr="00D97A81" w:rsidRDefault="00D97A81" w:rsidP="005D6A1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rPr>
            </w:pPr>
            <w:r w:rsidRPr="00D97A81">
              <w:rPr>
                <w:rFonts w:ascii="Arial Narrow" w:eastAsia="Times New Roman" w:hAnsi="Arial Narrow" w:cs="Times New Roman"/>
                <w:color w:val="000000"/>
              </w:rPr>
              <w:t xml:space="preserve">        125,827,422 </w:t>
            </w:r>
          </w:p>
        </w:tc>
        <w:tc>
          <w:tcPr>
            <w:tcW w:w="750" w:type="pct"/>
            <w:noWrap/>
            <w:hideMark/>
          </w:tcPr>
          <w:p w:rsidR="00D97A81" w:rsidRPr="00D97A81" w:rsidRDefault="00D97A81" w:rsidP="00D97A81">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rPr>
            </w:pPr>
            <w:r w:rsidRPr="00D97A81">
              <w:rPr>
                <w:rFonts w:ascii="Arial Narrow" w:eastAsia="Times New Roman" w:hAnsi="Arial Narrow" w:cs="Times New Roman"/>
                <w:color w:val="000000"/>
              </w:rPr>
              <w:t>14.5%</w:t>
            </w:r>
          </w:p>
        </w:tc>
      </w:tr>
    </w:tbl>
    <w:p w:rsidR="003D34B4" w:rsidRDefault="003D34B4" w:rsidP="00B24B00">
      <w:pPr>
        <w:pStyle w:val="IBSubheading2"/>
        <w:rPr>
          <w:noProof/>
        </w:rPr>
      </w:pPr>
    </w:p>
    <w:p w:rsidR="000F0D97" w:rsidRDefault="000F0D97" w:rsidP="000F0D97">
      <w:pPr>
        <w:pStyle w:val="IBSubheading2"/>
        <w:ind w:firstLine="0"/>
        <w:rPr>
          <w:rFonts w:ascii="Calibri" w:hAnsi="Calibri"/>
          <w:i w:val="0"/>
          <w:sz w:val="20"/>
          <w:szCs w:val="20"/>
        </w:rPr>
      </w:pPr>
      <w:r>
        <w:rPr>
          <w:rFonts w:ascii="Calibri" w:hAnsi="Calibri"/>
          <w:i w:val="0"/>
          <w:sz w:val="20"/>
          <w:szCs w:val="20"/>
        </w:rPr>
        <w:t xml:space="preserve">To help the Board understand the growth in tuition waivers, the following chart looks at the change in percentage of tuition waived for residents versus non-residents over the last 10 years.  From a system perspective, the USHE institutions have consistently waived approximately seven percent of resident tuition, while they have increased the percent of non-resident tuition waived from 21.9% to 33.4% in that same time frame. </w:t>
      </w:r>
    </w:p>
    <w:p w:rsidR="000F0D97" w:rsidRDefault="000F0D97" w:rsidP="000F0D97">
      <w:pPr>
        <w:pStyle w:val="IBSubheading2"/>
        <w:ind w:firstLine="0"/>
        <w:rPr>
          <w:rFonts w:ascii="Calibri" w:hAnsi="Calibri"/>
          <w:i w:val="0"/>
          <w:sz w:val="20"/>
          <w:szCs w:val="20"/>
        </w:rPr>
      </w:pPr>
    </w:p>
    <w:tbl>
      <w:tblPr>
        <w:tblStyle w:val="GridTable2-Accent41"/>
        <w:tblW w:w="5000" w:type="pct"/>
        <w:tblLook w:val="04A0" w:firstRow="1" w:lastRow="0" w:firstColumn="1" w:lastColumn="0" w:noHBand="0" w:noVBand="1"/>
      </w:tblPr>
      <w:tblGrid>
        <w:gridCol w:w="1794"/>
        <w:gridCol w:w="1677"/>
        <w:gridCol w:w="1909"/>
        <w:gridCol w:w="395"/>
        <w:gridCol w:w="1677"/>
        <w:gridCol w:w="1908"/>
      </w:tblGrid>
      <w:tr w:rsidR="00456AD6" w:rsidRPr="00456AD6" w:rsidTr="000F0D97">
        <w:trPr>
          <w:cnfStyle w:val="100000000000" w:firstRow="1" w:lastRow="0" w:firstColumn="0" w:lastColumn="0" w:oddVBand="0" w:evenVBand="0" w:oddHBand="0"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958" w:type="pct"/>
            <w:noWrap/>
            <w:hideMark/>
          </w:tcPr>
          <w:p w:rsidR="00456AD6" w:rsidRPr="00456AD6" w:rsidRDefault="00456AD6" w:rsidP="00456AD6">
            <w:pPr>
              <w:rPr>
                <w:rFonts w:ascii="Times New Roman" w:eastAsia="Times New Roman" w:hAnsi="Times New Roman" w:cs="Times New Roman"/>
                <w:sz w:val="24"/>
                <w:szCs w:val="24"/>
              </w:rPr>
            </w:pPr>
          </w:p>
        </w:tc>
        <w:tc>
          <w:tcPr>
            <w:tcW w:w="1916" w:type="pct"/>
            <w:gridSpan w:val="2"/>
            <w:hideMark/>
          </w:tcPr>
          <w:p w:rsidR="00456AD6" w:rsidRPr="00456AD6" w:rsidRDefault="00BA1C80" w:rsidP="00456AD6">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rPr>
            </w:pPr>
            <w:r>
              <w:rPr>
                <w:rFonts w:ascii="Arial Narrow" w:eastAsia="Times New Roman" w:hAnsi="Arial Narrow" w:cs="Times New Roman"/>
                <w:color w:val="000000"/>
              </w:rPr>
              <w:t xml:space="preserve">FY </w:t>
            </w:r>
            <w:r w:rsidR="00456AD6" w:rsidRPr="00456AD6">
              <w:rPr>
                <w:rFonts w:ascii="Arial Narrow" w:eastAsia="Times New Roman" w:hAnsi="Arial Narrow" w:cs="Times New Roman"/>
                <w:color w:val="000000"/>
              </w:rPr>
              <w:t>2006-07</w:t>
            </w:r>
          </w:p>
        </w:tc>
        <w:tc>
          <w:tcPr>
            <w:tcW w:w="211" w:type="pct"/>
            <w:noWrap/>
            <w:hideMark/>
          </w:tcPr>
          <w:p w:rsidR="00456AD6" w:rsidRPr="00456AD6" w:rsidRDefault="00456AD6" w:rsidP="00456AD6">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rPr>
            </w:pPr>
          </w:p>
        </w:tc>
        <w:tc>
          <w:tcPr>
            <w:tcW w:w="1916" w:type="pct"/>
            <w:gridSpan w:val="2"/>
            <w:hideMark/>
          </w:tcPr>
          <w:p w:rsidR="00456AD6" w:rsidRPr="00456AD6" w:rsidRDefault="00BA1C80" w:rsidP="00456AD6">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rPr>
            </w:pPr>
            <w:r>
              <w:rPr>
                <w:rFonts w:ascii="Arial Narrow" w:eastAsia="Times New Roman" w:hAnsi="Arial Narrow" w:cs="Times New Roman"/>
                <w:color w:val="000000"/>
              </w:rPr>
              <w:t xml:space="preserve">FY </w:t>
            </w:r>
            <w:r w:rsidR="00456AD6" w:rsidRPr="00456AD6">
              <w:rPr>
                <w:rFonts w:ascii="Arial Narrow" w:eastAsia="Times New Roman" w:hAnsi="Arial Narrow" w:cs="Times New Roman"/>
                <w:color w:val="000000"/>
              </w:rPr>
              <w:t>2015-16</w:t>
            </w:r>
          </w:p>
        </w:tc>
      </w:tr>
      <w:tr w:rsidR="00456AD6" w:rsidRPr="00456AD6" w:rsidTr="000F0D97">
        <w:trPr>
          <w:cnfStyle w:val="000000100000" w:firstRow="0" w:lastRow="0" w:firstColumn="0" w:lastColumn="0" w:oddVBand="0" w:evenVBand="0" w:oddHBand="1"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958" w:type="pct"/>
            <w:noWrap/>
            <w:hideMark/>
          </w:tcPr>
          <w:p w:rsidR="00456AD6" w:rsidRPr="00456AD6" w:rsidRDefault="00456AD6" w:rsidP="00456AD6">
            <w:pPr>
              <w:rPr>
                <w:rFonts w:ascii="Arial Narrow" w:eastAsia="Times New Roman" w:hAnsi="Arial Narrow" w:cs="Times New Roman"/>
                <w:color w:val="000000"/>
              </w:rPr>
            </w:pPr>
            <w:r w:rsidRPr="00456AD6">
              <w:rPr>
                <w:rFonts w:ascii="Arial Narrow" w:eastAsia="Times New Roman" w:hAnsi="Arial Narrow" w:cs="Times New Roman"/>
                <w:color w:val="000000"/>
              </w:rPr>
              <w:t>Institution</w:t>
            </w:r>
          </w:p>
        </w:tc>
        <w:tc>
          <w:tcPr>
            <w:tcW w:w="896" w:type="pct"/>
            <w:hideMark/>
          </w:tcPr>
          <w:p w:rsidR="00456AD6" w:rsidRPr="00456AD6" w:rsidRDefault="00456AD6" w:rsidP="00456AD6">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rPr>
            </w:pPr>
            <w:r w:rsidRPr="00456AD6">
              <w:rPr>
                <w:rFonts w:ascii="Arial Narrow" w:eastAsia="Times New Roman" w:hAnsi="Arial Narrow" w:cs="Times New Roman"/>
                <w:color w:val="000000"/>
              </w:rPr>
              <w:t>Residents</w:t>
            </w:r>
            <w:r w:rsidRPr="00456AD6">
              <w:rPr>
                <w:rFonts w:ascii="Arial Narrow" w:eastAsia="Times New Roman" w:hAnsi="Arial Narrow" w:cs="Times New Roman"/>
                <w:color w:val="000000"/>
              </w:rPr>
              <w:br/>
              <w:t>% Waived</w:t>
            </w:r>
          </w:p>
        </w:tc>
        <w:tc>
          <w:tcPr>
            <w:tcW w:w="1020" w:type="pct"/>
            <w:hideMark/>
          </w:tcPr>
          <w:p w:rsidR="00456AD6" w:rsidRPr="00456AD6" w:rsidRDefault="00456AD6" w:rsidP="00456AD6">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rPr>
            </w:pPr>
            <w:r w:rsidRPr="00456AD6">
              <w:rPr>
                <w:rFonts w:ascii="Arial Narrow" w:eastAsia="Times New Roman" w:hAnsi="Arial Narrow" w:cs="Times New Roman"/>
                <w:color w:val="000000"/>
              </w:rPr>
              <w:t>Non-residents</w:t>
            </w:r>
            <w:r w:rsidRPr="00456AD6">
              <w:rPr>
                <w:rFonts w:ascii="Arial Narrow" w:eastAsia="Times New Roman" w:hAnsi="Arial Narrow" w:cs="Times New Roman"/>
                <w:color w:val="000000"/>
              </w:rPr>
              <w:br/>
              <w:t>% Waived</w:t>
            </w:r>
          </w:p>
        </w:tc>
        <w:tc>
          <w:tcPr>
            <w:tcW w:w="211" w:type="pct"/>
            <w:noWrap/>
            <w:hideMark/>
          </w:tcPr>
          <w:p w:rsidR="00456AD6" w:rsidRPr="00456AD6" w:rsidRDefault="00456AD6" w:rsidP="00456AD6">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rPr>
            </w:pPr>
          </w:p>
        </w:tc>
        <w:tc>
          <w:tcPr>
            <w:tcW w:w="896" w:type="pct"/>
            <w:hideMark/>
          </w:tcPr>
          <w:p w:rsidR="00456AD6" w:rsidRPr="00456AD6" w:rsidRDefault="00456AD6" w:rsidP="00456AD6">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rPr>
            </w:pPr>
            <w:r w:rsidRPr="00456AD6">
              <w:rPr>
                <w:rFonts w:ascii="Arial Narrow" w:eastAsia="Times New Roman" w:hAnsi="Arial Narrow" w:cs="Times New Roman"/>
                <w:color w:val="000000"/>
              </w:rPr>
              <w:t>Residents</w:t>
            </w:r>
            <w:r w:rsidRPr="00456AD6">
              <w:rPr>
                <w:rFonts w:ascii="Arial Narrow" w:eastAsia="Times New Roman" w:hAnsi="Arial Narrow" w:cs="Times New Roman"/>
                <w:color w:val="000000"/>
              </w:rPr>
              <w:br/>
              <w:t>% Waived</w:t>
            </w:r>
          </w:p>
        </w:tc>
        <w:tc>
          <w:tcPr>
            <w:tcW w:w="1020" w:type="pct"/>
            <w:hideMark/>
          </w:tcPr>
          <w:p w:rsidR="00456AD6" w:rsidRPr="00456AD6" w:rsidRDefault="00456AD6" w:rsidP="00456AD6">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rPr>
            </w:pPr>
            <w:r w:rsidRPr="00456AD6">
              <w:rPr>
                <w:rFonts w:ascii="Arial Narrow" w:eastAsia="Times New Roman" w:hAnsi="Arial Narrow" w:cs="Times New Roman"/>
                <w:color w:val="000000"/>
              </w:rPr>
              <w:t>Non-residents</w:t>
            </w:r>
            <w:r w:rsidRPr="00456AD6">
              <w:rPr>
                <w:rFonts w:ascii="Arial Narrow" w:eastAsia="Times New Roman" w:hAnsi="Arial Narrow" w:cs="Times New Roman"/>
                <w:color w:val="000000"/>
              </w:rPr>
              <w:br/>
              <w:t>% Waived</w:t>
            </w:r>
          </w:p>
        </w:tc>
      </w:tr>
      <w:tr w:rsidR="00456AD6" w:rsidRPr="00456AD6" w:rsidTr="000F0D97">
        <w:trPr>
          <w:trHeight w:val="288"/>
        </w:trPr>
        <w:tc>
          <w:tcPr>
            <w:cnfStyle w:val="001000000000" w:firstRow="0" w:lastRow="0" w:firstColumn="1" w:lastColumn="0" w:oddVBand="0" w:evenVBand="0" w:oddHBand="0" w:evenHBand="0" w:firstRowFirstColumn="0" w:firstRowLastColumn="0" w:lastRowFirstColumn="0" w:lastRowLastColumn="0"/>
            <w:tcW w:w="958" w:type="pct"/>
            <w:noWrap/>
            <w:hideMark/>
          </w:tcPr>
          <w:p w:rsidR="00456AD6" w:rsidRPr="00456AD6" w:rsidRDefault="00456AD6" w:rsidP="00456AD6">
            <w:pPr>
              <w:rPr>
                <w:rFonts w:ascii="Arial Narrow" w:eastAsia="Times New Roman" w:hAnsi="Arial Narrow" w:cs="Times New Roman"/>
                <w:color w:val="000000"/>
              </w:rPr>
            </w:pPr>
            <w:r w:rsidRPr="00456AD6">
              <w:rPr>
                <w:rFonts w:ascii="Arial Narrow" w:eastAsia="Times New Roman" w:hAnsi="Arial Narrow" w:cs="Times New Roman"/>
                <w:color w:val="000000"/>
              </w:rPr>
              <w:t>UTAH</w:t>
            </w:r>
          </w:p>
        </w:tc>
        <w:tc>
          <w:tcPr>
            <w:tcW w:w="896" w:type="pct"/>
            <w:noWrap/>
            <w:hideMark/>
          </w:tcPr>
          <w:p w:rsidR="00456AD6" w:rsidRPr="00456AD6" w:rsidRDefault="00456AD6" w:rsidP="00456AD6">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rPr>
            </w:pPr>
            <w:r w:rsidRPr="00456AD6">
              <w:rPr>
                <w:rFonts w:ascii="Arial Narrow" w:eastAsia="Times New Roman" w:hAnsi="Arial Narrow" w:cs="Times New Roman"/>
                <w:color w:val="000000"/>
              </w:rPr>
              <w:t>5.5%</w:t>
            </w:r>
          </w:p>
        </w:tc>
        <w:tc>
          <w:tcPr>
            <w:tcW w:w="1020" w:type="pct"/>
            <w:noWrap/>
            <w:hideMark/>
          </w:tcPr>
          <w:p w:rsidR="00456AD6" w:rsidRPr="00456AD6" w:rsidRDefault="00456AD6" w:rsidP="00456AD6">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rPr>
            </w:pPr>
            <w:r w:rsidRPr="00456AD6">
              <w:rPr>
                <w:rFonts w:ascii="Arial Narrow" w:eastAsia="Times New Roman" w:hAnsi="Arial Narrow" w:cs="Times New Roman"/>
                <w:color w:val="000000"/>
              </w:rPr>
              <w:t>10.8%</w:t>
            </w:r>
          </w:p>
        </w:tc>
        <w:tc>
          <w:tcPr>
            <w:tcW w:w="211" w:type="pct"/>
            <w:noWrap/>
            <w:hideMark/>
          </w:tcPr>
          <w:p w:rsidR="00456AD6" w:rsidRPr="00456AD6" w:rsidRDefault="00456AD6" w:rsidP="00456AD6">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rPr>
            </w:pPr>
          </w:p>
        </w:tc>
        <w:tc>
          <w:tcPr>
            <w:tcW w:w="896" w:type="pct"/>
            <w:noWrap/>
            <w:hideMark/>
          </w:tcPr>
          <w:p w:rsidR="00456AD6" w:rsidRPr="00456AD6" w:rsidRDefault="00456AD6" w:rsidP="00456AD6">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rPr>
            </w:pPr>
            <w:r w:rsidRPr="00456AD6">
              <w:rPr>
                <w:rFonts w:ascii="Arial Narrow" w:eastAsia="Times New Roman" w:hAnsi="Arial Narrow" w:cs="Times New Roman"/>
                <w:color w:val="000000"/>
              </w:rPr>
              <w:t>5.0%</w:t>
            </w:r>
          </w:p>
        </w:tc>
        <w:tc>
          <w:tcPr>
            <w:tcW w:w="1020" w:type="pct"/>
            <w:noWrap/>
            <w:hideMark/>
          </w:tcPr>
          <w:p w:rsidR="00456AD6" w:rsidRPr="00456AD6" w:rsidRDefault="00456AD6" w:rsidP="00456AD6">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rPr>
            </w:pPr>
            <w:r w:rsidRPr="00456AD6">
              <w:rPr>
                <w:rFonts w:ascii="Arial Narrow" w:eastAsia="Times New Roman" w:hAnsi="Arial Narrow" w:cs="Times New Roman"/>
                <w:color w:val="000000"/>
              </w:rPr>
              <w:t>13.0%</w:t>
            </w:r>
          </w:p>
        </w:tc>
      </w:tr>
      <w:tr w:rsidR="000F0D97" w:rsidRPr="00456AD6" w:rsidTr="000F0D9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58" w:type="pct"/>
            <w:noWrap/>
            <w:hideMark/>
          </w:tcPr>
          <w:p w:rsidR="00456AD6" w:rsidRPr="00456AD6" w:rsidRDefault="00456AD6" w:rsidP="00456AD6">
            <w:pPr>
              <w:rPr>
                <w:rFonts w:ascii="Arial Narrow" w:eastAsia="Times New Roman" w:hAnsi="Arial Narrow" w:cs="Times New Roman"/>
                <w:color w:val="000000"/>
              </w:rPr>
            </w:pPr>
            <w:r w:rsidRPr="00456AD6">
              <w:rPr>
                <w:rFonts w:ascii="Arial Narrow" w:eastAsia="Times New Roman" w:hAnsi="Arial Narrow" w:cs="Times New Roman"/>
                <w:color w:val="000000"/>
              </w:rPr>
              <w:t>USU</w:t>
            </w:r>
          </w:p>
        </w:tc>
        <w:tc>
          <w:tcPr>
            <w:tcW w:w="896" w:type="pct"/>
            <w:noWrap/>
            <w:hideMark/>
          </w:tcPr>
          <w:p w:rsidR="00456AD6" w:rsidRPr="00456AD6" w:rsidRDefault="00456AD6" w:rsidP="00456AD6">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rPr>
            </w:pPr>
            <w:r w:rsidRPr="00456AD6">
              <w:rPr>
                <w:rFonts w:ascii="Arial Narrow" w:eastAsia="Times New Roman" w:hAnsi="Arial Narrow" w:cs="Times New Roman"/>
                <w:color w:val="000000"/>
              </w:rPr>
              <w:t>8.4%</w:t>
            </w:r>
          </w:p>
        </w:tc>
        <w:tc>
          <w:tcPr>
            <w:tcW w:w="1020" w:type="pct"/>
            <w:noWrap/>
            <w:hideMark/>
          </w:tcPr>
          <w:p w:rsidR="00456AD6" w:rsidRPr="00456AD6" w:rsidRDefault="00456AD6" w:rsidP="00456AD6">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rPr>
            </w:pPr>
            <w:r w:rsidRPr="00456AD6">
              <w:rPr>
                <w:rFonts w:ascii="Arial Narrow" w:eastAsia="Times New Roman" w:hAnsi="Arial Narrow" w:cs="Times New Roman"/>
                <w:color w:val="000000"/>
              </w:rPr>
              <w:t>41.8%</w:t>
            </w:r>
          </w:p>
        </w:tc>
        <w:tc>
          <w:tcPr>
            <w:tcW w:w="211" w:type="pct"/>
            <w:noWrap/>
            <w:hideMark/>
          </w:tcPr>
          <w:p w:rsidR="00456AD6" w:rsidRPr="00456AD6" w:rsidRDefault="00456AD6" w:rsidP="00456AD6">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rPr>
            </w:pPr>
          </w:p>
        </w:tc>
        <w:tc>
          <w:tcPr>
            <w:tcW w:w="896" w:type="pct"/>
            <w:noWrap/>
            <w:hideMark/>
          </w:tcPr>
          <w:p w:rsidR="00456AD6" w:rsidRPr="00456AD6" w:rsidRDefault="00456AD6" w:rsidP="00456AD6">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rPr>
            </w:pPr>
            <w:r w:rsidRPr="00456AD6">
              <w:rPr>
                <w:rFonts w:ascii="Arial Narrow" w:eastAsia="Times New Roman" w:hAnsi="Arial Narrow" w:cs="Times New Roman"/>
                <w:color w:val="000000"/>
              </w:rPr>
              <w:t>7.0%</w:t>
            </w:r>
          </w:p>
        </w:tc>
        <w:tc>
          <w:tcPr>
            <w:tcW w:w="1020" w:type="pct"/>
            <w:noWrap/>
            <w:hideMark/>
          </w:tcPr>
          <w:p w:rsidR="00456AD6" w:rsidRPr="00456AD6" w:rsidRDefault="00456AD6" w:rsidP="00456AD6">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rPr>
            </w:pPr>
            <w:r w:rsidRPr="00456AD6">
              <w:rPr>
                <w:rFonts w:ascii="Arial Narrow" w:eastAsia="Times New Roman" w:hAnsi="Arial Narrow" w:cs="Times New Roman"/>
                <w:color w:val="000000"/>
              </w:rPr>
              <w:t>51.3%</w:t>
            </w:r>
          </w:p>
        </w:tc>
      </w:tr>
      <w:tr w:rsidR="00456AD6" w:rsidRPr="00456AD6" w:rsidTr="000F0D97">
        <w:trPr>
          <w:trHeight w:val="288"/>
        </w:trPr>
        <w:tc>
          <w:tcPr>
            <w:cnfStyle w:val="001000000000" w:firstRow="0" w:lastRow="0" w:firstColumn="1" w:lastColumn="0" w:oddVBand="0" w:evenVBand="0" w:oddHBand="0" w:evenHBand="0" w:firstRowFirstColumn="0" w:firstRowLastColumn="0" w:lastRowFirstColumn="0" w:lastRowLastColumn="0"/>
            <w:tcW w:w="958" w:type="pct"/>
            <w:noWrap/>
            <w:hideMark/>
          </w:tcPr>
          <w:p w:rsidR="00456AD6" w:rsidRPr="00456AD6" w:rsidRDefault="00456AD6" w:rsidP="00456AD6">
            <w:pPr>
              <w:rPr>
                <w:rFonts w:ascii="Arial Narrow" w:eastAsia="Times New Roman" w:hAnsi="Arial Narrow" w:cs="Times New Roman"/>
                <w:color w:val="000000"/>
              </w:rPr>
            </w:pPr>
            <w:r w:rsidRPr="00456AD6">
              <w:rPr>
                <w:rFonts w:ascii="Arial Narrow" w:eastAsia="Times New Roman" w:hAnsi="Arial Narrow" w:cs="Times New Roman"/>
                <w:color w:val="000000"/>
              </w:rPr>
              <w:t>WSU</w:t>
            </w:r>
          </w:p>
        </w:tc>
        <w:tc>
          <w:tcPr>
            <w:tcW w:w="896" w:type="pct"/>
            <w:noWrap/>
            <w:hideMark/>
          </w:tcPr>
          <w:p w:rsidR="00456AD6" w:rsidRPr="00456AD6" w:rsidRDefault="00456AD6" w:rsidP="00456AD6">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rPr>
            </w:pPr>
            <w:r w:rsidRPr="00456AD6">
              <w:rPr>
                <w:rFonts w:ascii="Arial Narrow" w:eastAsia="Times New Roman" w:hAnsi="Arial Narrow" w:cs="Times New Roman"/>
                <w:color w:val="000000"/>
              </w:rPr>
              <w:t>8.4%</w:t>
            </w:r>
          </w:p>
        </w:tc>
        <w:tc>
          <w:tcPr>
            <w:tcW w:w="1020" w:type="pct"/>
            <w:noWrap/>
            <w:hideMark/>
          </w:tcPr>
          <w:p w:rsidR="00456AD6" w:rsidRPr="00456AD6" w:rsidRDefault="00456AD6" w:rsidP="00456AD6">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rPr>
            </w:pPr>
            <w:r w:rsidRPr="00456AD6">
              <w:rPr>
                <w:rFonts w:ascii="Arial Narrow" w:eastAsia="Times New Roman" w:hAnsi="Arial Narrow" w:cs="Times New Roman"/>
                <w:color w:val="000000"/>
              </w:rPr>
              <w:t>28.6%</w:t>
            </w:r>
          </w:p>
        </w:tc>
        <w:tc>
          <w:tcPr>
            <w:tcW w:w="211" w:type="pct"/>
            <w:noWrap/>
            <w:hideMark/>
          </w:tcPr>
          <w:p w:rsidR="00456AD6" w:rsidRPr="00456AD6" w:rsidRDefault="00456AD6" w:rsidP="00456AD6">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rPr>
            </w:pPr>
          </w:p>
        </w:tc>
        <w:tc>
          <w:tcPr>
            <w:tcW w:w="896" w:type="pct"/>
            <w:noWrap/>
            <w:hideMark/>
          </w:tcPr>
          <w:p w:rsidR="00456AD6" w:rsidRPr="00456AD6" w:rsidRDefault="00456AD6" w:rsidP="00456AD6">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rPr>
            </w:pPr>
            <w:r w:rsidRPr="00456AD6">
              <w:rPr>
                <w:rFonts w:ascii="Arial Narrow" w:eastAsia="Times New Roman" w:hAnsi="Arial Narrow" w:cs="Times New Roman"/>
                <w:color w:val="000000"/>
              </w:rPr>
              <w:t>10.1%</w:t>
            </w:r>
          </w:p>
        </w:tc>
        <w:tc>
          <w:tcPr>
            <w:tcW w:w="1020" w:type="pct"/>
            <w:noWrap/>
            <w:hideMark/>
          </w:tcPr>
          <w:p w:rsidR="00456AD6" w:rsidRPr="00456AD6" w:rsidRDefault="00456AD6" w:rsidP="00456AD6">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rPr>
            </w:pPr>
            <w:r w:rsidRPr="00456AD6">
              <w:rPr>
                <w:rFonts w:ascii="Arial Narrow" w:eastAsia="Times New Roman" w:hAnsi="Arial Narrow" w:cs="Times New Roman"/>
                <w:color w:val="000000"/>
              </w:rPr>
              <w:t>46.5%</w:t>
            </w:r>
          </w:p>
        </w:tc>
      </w:tr>
      <w:tr w:rsidR="000F0D97" w:rsidRPr="00456AD6" w:rsidTr="000F0D9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58" w:type="pct"/>
            <w:noWrap/>
            <w:hideMark/>
          </w:tcPr>
          <w:p w:rsidR="00456AD6" w:rsidRPr="00456AD6" w:rsidRDefault="00456AD6" w:rsidP="00456AD6">
            <w:pPr>
              <w:rPr>
                <w:rFonts w:ascii="Arial Narrow" w:eastAsia="Times New Roman" w:hAnsi="Arial Narrow" w:cs="Times New Roman"/>
                <w:color w:val="000000"/>
              </w:rPr>
            </w:pPr>
            <w:r w:rsidRPr="00456AD6">
              <w:rPr>
                <w:rFonts w:ascii="Arial Narrow" w:eastAsia="Times New Roman" w:hAnsi="Arial Narrow" w:cs="Times New Roman"/>
                <w:color w:val="000000"/>
              </w:rPr>
              <w:t>SUU</w:t>
            </w:r>
          </w:p>
        </w:tc>
        <w:tc>
          <w:tcPr>
            <w:tcW w:w="896" w:type="pct"/>
            <w:noWrap/>
            <w:hideMark/>
          </w:tcPr>
          <w:p w:rsidR="00456AD6" w:rsidRPr="00456AD6" w:rsidRDefault="00456AD6" w:rsidP="00456AD6">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rPr>
            </w:pPr>
            <w:r w:rsidRPr="00456AD6">
              <w:rPr>
                <w:rFonts w:ascii="Arial Narrow" w:eastAsia="Times New Roman" w:hAnsi="Arial Narrow" w:cs="Times New Roman"/>
                <w:color w:val="000000"/>
              </w:rPr>
              <w:t>9.6%</w:t>
            </w:r>
          </w:p>
        </w:tc>
        <w:tc>
          <w:tcPr>
            <w:tcW w:w="1020" w:type="pct"/>
            <w:noWrap/>
            <w:hideMark/>
          </w:tcPr>
          <w:p w:rsidR="00456AD6" w:rsidRPr="00456AD6" w:rsidRDefault="00456AD6" w:rsidP="00456AD6">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rPr>
            </w:pPr>
            <w:r w:rsidRPr="00456AD6">
              <w:rPr>
                <w:rFonts w:ascii="Arial Narrow" w:eastAsia="Times New Roman" w:hAnsi="Arial Narrow" w:cs="Times New Roman"/>
                <w:color w:val="000000"/>
              </w:rPr>
              <w:t>29.8%</w:t>
            </w:r>
          </w:p>
        </w:tc>
        <w:tc>
          <w:tcPr>
            <w:tcW w:w="211" w:type="pct"/>
            <w:noWrap/>
            <w:hideMark/>
          </w:tcPr>
          <w:p w:rsidR="00456AD6" w:rsidRPr="00456AD6" w:rsidRDefault="00456AD6" w:rsidP="00456AD6">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rPr>
            </w:pPr>
          </w:p>
        </w:tc>
        <w:tc>
          <w:tcPr>
            <w:tcW w:w="896" w:type="pct"/>
            <w:noWrap/>
            <w:hideMark/>
          </w:tcPr>
          <w:p w:rsidR="00456AD6" w:rsidRPr="00456AD6" w:rsidRDefault="00456AD6" w:rsidP="00456AD6">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rPr>
            </w:pPr>
            <w:r w:rsidRPr="00456AD6">
              <w:rPr>
                <w:rFonts w:ascii="Arial Narrow" w:eastAsia="Times New Roman" w:hAnsi="Arial Narrow" w:cs="Times New Roman"/>
                <w:color w:val="000000"/>
              </w:rPr>
              <w:t>10.5%</w:t>
            </w:r>
          </w:p>
        </w:tc>
        <w:tc>
          <w:tcPr>
            <w:tcW w:w="1020" w:type="pct"/>
            <w:noWrap/>
            <w:hideMark/>
          </w:tcPr>
          <w:p w:rsidR="00456AD6" w:rsidRPr="00456AD6" w:rsidRDefault="00456AD6" w:rsidP="00456AD6">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rPr>
            </w:pPr>
            <w:r w:rsidRPr="00456AD6">
              <w:rPr>
                <w:rFonts w:ascii="Arial Narrow" w:eastAsia="Times New Roman" w:hAnsi="Arial Narrow" w:cs="Times New Roman"/>
                <w:color w:val="000000"/>
              </w:rPr>
              <w:t>49.8%</w:t>
            </w:r>
          </w:p>
        </w:tc>
      </w:tr>
      <w:tr w:rsidR="00456AD6" w:rsidRPr="00456AD6" w:rsidTr="000F0D97">
        <w:trPr>
          <w:trHeight w:val="288"/>
        </w:trPr>
        <w:tc>
          <w:tcPr>
            <w:cnfStyle w:val="001000000000" w:firstRow="0" w:lastRow="0" w:firstColumn="1" w:lastColumn="0" w:oddVBand="0" w:evenVBand="0" w:oddHBand="0" w:evenHBand="0" w:firstRowFirstColumn="0" w:firstRowLastColumn="0" w:lastRowFirstColumn="0" w:lastRowLastColumn="0"/>
            <w:tcW w:w="958" w:type="pct"/>
            <w:noWrap/>
            <w:hideMark/>
          </w:tcPr>
          <w:p w:rsidR="00456AD6" w:rsidRPr="00456AD6" w:rsidRDefault="00456AD6" w:rsidP="00456AD6">
            <w:pPr>
              <w:rPr>
                <w:rFonts w:ascii="Arial Narrow" w:eastAsia="Times New Roman" w:hAnsi="Arial Narrow" w:cs="Times New Roman"/>
                <w:color w:val="000000"/>
              </w:rPr>
            </w:pPr>
            <w:r w:rsidRPr="00456AD6">
              <w:rPr>
                <w:rFonts w:ascii="Arial Narrow" w:eastAsia="Times New Roman" w:hAnsi="Arial Narrow" w:cs="Times New Roman"/>
                <w:color w:val="000000"/>
              </w:rPr>
              <w:t>SNOW</w:t>
            </w:r>
          </w:p>
        </w:tc>
        <w:tc>
          <w:tcPr>
            <w:tcW w:w="896" w:type="pct"/>
            <w:noWrap/>
            <w:hideMark/>
          </w:tcPr>
          <w:p w:rsidR="00456AD6" w:rsidRPr="00456AD6" w:rsidRDefault="00456AD6" w:rsidP="00456AD6">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rPr>
            </w:pPr>
            <w:r w:rsidRPr="00456AD6">
              <w:rPr>
                <w:rFonts w:ascii="Arial Narrow" w:eastAsia="Times New Roman" w:hAnsi="Arial Narrow" w:cs="Times New Roman"/>
                <w:color w:val="000000"/>
              </w:rPr>
              <w:t>10.3%</w:t>
            </w:r>
          </w:p>
        </w:tc>
        <w:tc>
          <w:tcPr>
            <w:tcW w:w="1020" w:type="pct"/>
            <w:noWrap/>
            <w:hideMark/>
          </w:tcPr>
          <w:p w:rsidR="00456AD6" w:rsidRPr="00456AD6" w:rsidRDefault="00456AD6" w:rsidP="00456AD6">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rPr>
            </w:pPr>
            <w:r w:rsidRPr="00456AD6">
              <w:rPr>
                <w:rFonts w:ascii="Arial Narrow" w:eastAsia="Times New Roman" w:hAnsi="Arial Narrow" w:cs="Times New Roman"/>
                <w:color w:val="000000"/>
              </w:rPr>
              <w:t>15.2%</w:t>
            </w:r>
          </w:p>
        </w:tc>
        <w:tc>
          <w:tcPr>
            <w:tcW w:w="211" w:type="pct"/>
            <w:noWrap/>
            <w:hideMark/>
          </w:tcPr>
          <w:p w:rsidR="00456AD6" w:rsidRPr="00456AD6" w:rsidRDefault="00456AD6" w:rsidP="00456AD6">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rPr>
            </w:pPr>
          </w:p>
        </w:tc>
        <w:tc>
          <w:tcPr>
            <w:tcW w:w="896" w:type="pct"/>
            <w:noWrap/>
            <w:hideMark/>
          </w:tcPr>
          <w:p w:rsidR="00456AD6" w:rsidRPr="00456AD6" w:rsidRDefault="00456AD6" w:rsidP="00456AD6">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rPr>
            </w:pPr>
            <w:r w:rsidRPr="00456AD6">
              <w:rPr>
                <w:rFonts w:ascii="Arial Narrow" w:eastAsia="Times New Roman" w:hAnsi="Arial Narrow" w:cs="Times New Roman"/>
                <w:color w:val="000000"/>
              </w:rPr>
              <w:t>12.1%</w:t>
            </w:r>
          </w:p>
        </w:tc>
        <w:tc>
          <w:tcPr>
            <w:tcW w:w="1020" w:type="pct"/>
            <w:noWrap/>
            <w:hideMark/>
          </w:tcPr>
          <w:p w:rsidR="00456AD6" w:rsidRPr="00456AD6" w:rsidRDefault="00456AD6" w:rsidP="00456AD6">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rPr>
            </w:pPr>
            <w:r w:rsidRPr="00456AD6">
              <w:rPr>
                <w:rFonts w:ascii="Arial Narrow" w:eastAsia="Times New Roman" w:hAnsi="Arial Narrow" w:cs="Times New Roman"/>
                <w:color w:val="000000"/>
              </w:rPr>
              <w:t>37.2%</w:t>
            </w:r>
          </w:p>
        </w:tc>
      </w:tr>
      <w:tr w:rsidR="000F0D97" w:rsidRPr="00456AD6" w:rsidTr="000F0D9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58" w:type="pct"/>
            <w:noWrap/>
            <w:hideMark/>
          </w:tcPr>
          <w:p w:rsidR="00456AD6" w:rsidRPr="00456AD6" w:rsidRDefault="00456AD6" w:rsidP="00456AD6">
            <w:pPr>
              <w:rPr>
                <w:rFonts w:ascii="Arial Narrow" w:eastAsia="Times New Roman" w:hAnsi="Arial Narrow" w:cs="Times New Roman"/>
                <w:color w:val="000000"/>
              </w:rPr>
            </w:pPr>
            <w:r w:rsidRPr="00456AD6">
              <w:rPr>
                <w:rFonts w:ascii="Arial Narrow" w:eastAsia="Times New Roman" w:hAnsi="Arial Narrow" w:cs="Times New Roman"/>
                <w:color w:val="000000"/>
              </w:rPr>
              <w:t>DSU</w:t>
            </w:r>
          </w:p>
        </w:tc>
        <w:tc>
          <w:tcPr>
            <w:tcW w:w="896" w:type="pct"/>
            <w:noWrap/>
            <w:hideMark/>
          </w:tcPr>
          <w:p w:rsidR="00456AD6" w:rsidRPr="00456AD6" w:rsidRDefault="00456AD6" w:rsidP="00456AD6">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rPr>
            </w:pPr>
            <w:r w:rsidRPr="00456AD6">
              <w:rPr>
                <w:rFonts w:ascii="Arial Narrow" w:eastAsia="Times New Roman" w:hAnsi="Arial Narrow" w:cs="Times New Roman"/>
                <w:color w:val="000000"/>
              </w:rPr>
              <w:t>10.9%</w:t>
            </w:r>
          </w:p>
        </w:tc>
        <w:tc>
          <w:tcPr>
            <w:tcW w:w="1020" w:type="pct"/>
            <w:noWrap/>
            <w:hideMark/>
          </w:tcPr>
          <w:p w:rsidR="00456AD6" w:rsidRPr="00456AD6" w:rsidRDefault="00456AD6" w:rsidP="00456AD6">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rPr>
            </w:pPr>
            <w:r w:rsidRPr="00456AD6">
              <w:rPr>
                <w:rFonts w:ascii="Arial Narrow" w:eastAsia="Times New Roman" w:hAnsi="Arial Narrow" w:cs="Times New Roman"/>
                <w:color w:val="000000"/>
              </w:rPr>
              <w:t>50.3%</w:t>
            </w:r>
          </w:p>
        </w:tc>
        <w:tc>
          <w:tcPr>
            <w:tcW w:w="211" w:type="pct"/>
            <w:noWrap/>
            <w:hideMark/>
          </w:tcPr>
          <w:p w:rsidR="00456AD6" w:rsidRPr="00456AD6" w:rsidRDefault="00456AD6" w:rsidP="00456AD6">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rPr>
            </w:pPr>
          </w:p>
        </w:tc>
        <w:tc>
          <w:tcPr>
            <w:tcW w:w="896" w:type="pct"/>
            <w:noWrap/>
            <w:hideMark/>
          </w:tcPr>
          <w:p w:rsidR="00456AD6" w:rsidRPr="00456AD6" w:rsidRDefault="00456AD6" w:rsidP="00456AD6">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rPr>
            </w:pPr>
            <w:r w:rsidRPr="00456AD6">
              <w:rPr>
                <w:rFonts w:ascii="Arial Narrow" w:eastAsia="Times New Roman" w:hAnsi="Arial Narrow" w:cs="Times New Roman"/>
                <w:color w:val="000000"/>
              </w:rPr>
              <w:t>10.5%</w:t>
            </w:r>
          </w:p>
        </w:tc>
        <w:tc>
          <w:tcPr>
            <w:tcW w:w="1020" w:type="pct"/>
            <w:noWrap/>
            <w:hideMark/>
          </w:tcPr>
          <w:p w:rsidR="00456AD6" w:rsidRPr="00456AD6" w:rsidRDefault="00456AD6" w:rsidP="00456AD6">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rPr>
            </w:pPr>
            <w:r w:rsidRPr="00456AD6">
              <w:rPr>
                <w:rFonts w:ascii="Arial Narrow" w:eastAsia="Times New Roman" w:hAnsi="Arial Narrow" w:cs="Times New Roman"/>
                <w:color w:val="000000"/>
              </w:rPr>
              <w:t>42.3%</w:t>
            </w:r>
          </w:p>
        </w:tc>
      </w:tr>
      <w:tr w:rsidR="00456AD6" w:rsidRPr="00456AD6" w:rsidTr="000F0D97">
        <w:trPr>
          <w:trHeight w:val="288"/>
        </w:trPr>
        <w:tc>
          <w:tcPr>
            <w:cnfStyle w:val="001000000000" w:firstRow="0" w:lastRow="0" w:firstColumn="1" w:lastColumn="0" w:oddVBand="0" w:evenVBand="0" w:oddHBand="0" w:evenHBand="0" w:firstRowFirstColumn="0" w:firstRowLastColumn="0" w:lastRowFirstColumn="0" w:lastRowLastColumn="0"/>
            <w:tcW w:w="958" w:type="pct"/>
            <w:noWrap/>
            <w:hideMark/>
          </w:tcPr>
          <w:p w:rsidR="00456AD6" w:rsidRPr="00456AD6" w:rsidRDefault="00456AD6" w:rsidP="00456AD6">
            <w:pPr>
              <w:rPr>
                <w:rFonts w:ascii="Arial Narrow" w:eastAsia="Times New Roman" w:hAnsi="Arial Narrow" w:cs="Times New Roman"/>
                <w:color w:val="000000"/>
              </w:rPr>
            </w:pPr>
            <w:r w:rsidRPr="00456AD6">
              <w:rPr>
                <w:rFonts w:ascii="Arial Narrow" w:eastAsia="Times New Roman" w:hAnsi="Arial Narrow" w:cs="Times New Roman"/>
                <w:color w:val="000000"/>
              </w:rPr>
              <w:t>UVU</w:t>
            </w:r>
          </w:p>
        </w:tc>
        <w:tc>
          <w:tcPr>
            <w:tcW w:w="896" w:type="pct"/>
            <w:noWrap/>
            <w:hideMark/>
          </w:tcPr>
          <w:p w:rsidR="00456AD6" w:rsidRPr="00456AD6" w:rsidRDefault="00456AD6" w:rsidP="00456AD6">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rPr>
            </w:pPr>
            <w:r w:rsidRPr="00456AD6">
              <w:rPr>
                <w:rFonts w:ascii="Arial Narrow" w:eastAsia="Times New Roman" w:hAnsi="Arial Narrow" w:cs="Times New Roman"/>
                <w:color w:val="000000"/>
              </w:rPr>
              <w:t>6.9%</w:t>
            </w:r>
          </w:p>
        </w:tc>
        <w:tc>
          <w:tcPr>
            <w:tcW w:w="1020" w:type="pct"/>
            <w:noWrap/>
            <w:hideMark/>
          </w:tcPr>
          <w:p w:rsidR="00456AD6" w:rsidRPr="00456AD6" w:rsidRDefault="00456AD6" w:rsidP="00456AD6">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rPr>
            </w:pPr>
            <w:r w:rsidRPr="00456AD6">
              <w:rPr>
                <w:rFonts w:ascii="Arial Narrow" w:eastAsia="Times New Roman" w:hAnsi="Arial Narrow" w:cs="Times New Roman"/>
                <w:color w:val="000000"/>
              </w:rPr>
              <w:t>10.8%</w:t>
            </w:r>
          </w:p>
        </w:tc>
        <w:tc>
          <w:tcPr>
            <w:tcW w:w="211" w:type="pct"/>
            <w:noWrap/>
            <w:hideMark/>
          </w:tcPr>
          <w:p w:rsidR="00456AD6" w:rsidRPr="00456AD6" w:rsidRDefault="00456AD6" w:rsidP="00456AD6">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rPr>
            </w:pPr>
          </w:p>
        </w:tc>
        <w:tc>
          <w:tcPr>
            <w:tcW w:w="896" w:type="pct"/>
            <w:noWrap/>
            <w:hideMark/>
          </w:tcPr>
          <w:p w:rsidR="00456AD6" w:rsidRPr="00456AD6" w:rsidRDefault="00456AD6" w:rsidP="00456AD6">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rPr>
            </w:pPr>
            <w:r w:rsidRPr="00456AD6">
              <w:rPr>
                <w:rFonts w:ascii="Arial Narrow" w:eastAsia="Times New Roman" w:hAnsi="Arial Narrow" w:cs="Times New Roman"/>
                <w:color w:val="000000"/>
              </w:rPr>
              <w:t>8.2%</w:t>
            </w:r>
          </w:p>
        </w:tc>
        <w:tc>
          <w:tcPr>
            <w:tcW w:w="1020" w:type="pct"/>
            <w:noWrap/>
            <w:hideMark/>
          </w:tcPr>
          <w:p w:rsidR="00456AD6" w:rsidRPr="00456AD6" w:rsidRDefault="00456AD6" w:rsidP="00456AD6">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rPr>
            </w:pPr>
            <w:r w:rsidRPr="00456AD6">
              <w:rPr>
                <w:rFonts w:ascii="Arial Narrow" w:eastAsia="Times New Roman" w:hAnsi="Arial Narrow" w:cs="Times New Roman"/>
                <w:color w:val="000000"/>
              </w:rPr>
              <w:t>35.6%</w:t>
            </w:r>
          </w:p>
        </w:tc>
      </w:tr>
      <w:tr w:rsidR="000F0D97" w:rsidRPr="00456AD6" w:rsidTr="000F0D9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58" w:type="pct"/>
            <w:noWrap/>
            <w:hideMark/>
          </w:tcPr>
          <w:p w:rsidR="00456AD6" w:rsidRPr="00456AD6" w:rsidRDefault="00456AD6" w:rsidP="00456AD6">
            <w:pPr>
              <w:rPr>
                <w:rFonts w:ascii="Arial Narrow" w:eastAsia="Times New Roman" w:hAnsi="Arial Narrow" w:cs="Times New Roman"/>
                <w:color w:val="000000"/>
              </w:rPr>
            </w:pPr>
            <w:r w:rsidRPr="00456AD6">
              <w:rPr>
                <w:rFonts w:ascii="Arial Narrow" w:eastAsia="Times New Roman" w:hAnsi="Arial Narrow" w:cs="Times New Roman"/>
                <w:color w:val="000000"/>
              </w:rPr>
              <w:t>SLCC</w:t>
            </w:r>
          </w:p>
        </w:tc>
        <w:tc>
          <w:tcPr>
            <w:tcW w:w="896" w:type="pct"/>
            <w:noWrap/>
            <w:hideMark/>
          </w:tcPr>
          <w:p w:rsidR="00456AD6" w:rsidRPr="00456AD6" w:rsidRDefault="00456AD6" w:rsidP="00456AD6">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rPr>
            </w:pPr>
            <w:r w:rsidRPr="00456AD6">
              <w:rPr>
                <w:rFonts w:ascii="Arial Narrow" w:eastAsia="Times New Roman" w:hAnsi="Arial Narrow" w:cs="Times New Roman"/>
                <w:color w:val="000000"/>
              </w:rPr>
              <w:t>4.8%</w:t>
            </w:r>
          </w:p>
        </w:tc>
        <w:tc>
          <w:tcPr>
            <w:tcW w:w="1020" w:type="pct"/>
            <w:noWrap/>
            <w:hideMark/>
          </w:tcPr>
          <w:p w:rsidR="00456AD6" w:rsidRPr="00456AD6" w:rsidRDefault="00456AD6" w:rsidP="00456AD6">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rPr>
            </w:pPr>
            <w:r w:rsidRPr="00456AD6">
              <w:rPr>
                <w:rFonts w:ascii="Arial Narrow" w:eastAsia="Times New Roman" w:hAnsi="Arial Narrow" w:cs="Times New Roman"/>
                <w:color w:val="000000"/>
              </w:rPr>
              <w:t>11.3%</w:t>
            </w:r>
          </w:p>
        </w:tc>
        <w:tc>
          <w:tcPr>
            <w:tcW w:w="211" w:type="pct"/>
            <w:noWrap/>
            <w:hideMark/>
          </w:tcPr>
          <w:p w:rsidR="00456AD6" w:rsidRPr="00456AD6" w:rsidRDefault="00456AD6" w:rsidP="00456AD6">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rPr>
            </w:pPr>
          </w:p>
        </w:tc>
        <w:tc>
          <w:tcPr>
            <w:tcW w:w="896" w:type="pct"/>
            <w:noWrap/>
            <w:hideMark/>
          </w:tcPr>
          <w:p w:rsidR="00456AD6" w:rsidRPr="00456AD6" w:rsidRDefault="00456AD6" w:rsidP="00456AD6">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rPr>
            </w:pPr>
            <w:r w:rsidRPr="00456AD6">
              <w:rPr>
                <w:rFonts w:ascii="Arial Narrow" w:eastAsia="Times New Roman" w:hAnsi="Arial Narrow" w:cs="Times New Roman"/>
                <w:color w:val="000000"/>
              </w:rPr>
              <w:t>5.0%</w:t>
            </w:r>
          </w:p>
        </w:tc>
        <w:tc>
          <w:tcPr>
            <w:tcW w:w="1020" w:type="pct"/>
            <w:noWrap/>
            <w:hideMark/>
          </w:tcPr>
          <w:p w:rsidR="00456AD6" w:rsidRPr="00456AD6" w:rsidRDefault="00456AD6" w:rsidP="00456AD6">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rPr>
            </w:pPr>
            <w:r w:rsidRPr="00456AD6">
              <w:rPr>
                <w:rFonts w:ascii="Arial Narrow" w:eastAsia="Times New Roman" w:hAnsi="Arial Narrow" w:cs="Times New Roman"/>
                <w:color w:val="000000"/>
              </w:rPr>
              <w:t>23.7%</w:t>
            </w:r>
          </w:p>
        </w:tc>
      </w:tr>
      <w:tr w:rsidR="00456AD6" w:rsidRPr="00456AD6" w:rsidTr="000F0D97">
        <w:trPr>
          <w:trHeight w:val="288"/>
        </w:trPr>
        <w:tc>
          <w:tcPr>
            <w:cnfStyle w:val="001000000000" w:firstRow="0" w:lastRow="0" w:firstColumn="1" w:lastColumn="0" w:oddVBand="0" w:evenVBand="0" w:oddHBand="0" w:evenHBand="0" w:firstRowFirstColumn="0" w:firstRowLastColumn="0" w:lastRowFirstColumn="0" w:lastRowLastColumn="0"/>
            <w:tcW w:w="958" w:type="pct"/>
            <w:noWrap/>
            <w:hideMark/>
          </w:tcPr>
          <w:p w:rsidR="00456AD6" w:rsidRPr="00456AD6" w:rsidRDefault="00456AD6" w:rsidP="00456AD6">
            <w:pPr>
              <w:rPr>
                <w:rFonts w:ascii="Arial Narrow" w:eastAsia="Times New Roman" w:hAnsi="Arial Narrow" w:cs="Times New Roman"/>
                <w:color w:val="000000"/>
              </w:rPr>
            </w:pPr>
            <w:r w:rsidRPr="00456AD6">
              <w:rPr>
                <w:rFonts w:ascii="Arial Narrow" w:eastAsia="Times New Roman" w:hAnsi="Arial Narrow" w:cs="Times New Roman"/>
                <w:color w:val="000000"/>
              </w:rPr>
              <w:t>USHE</w:t>
            </w:r>
          </w:p>
        </w:tc>
        <w:tc>
          <w:tcPr>
            <w:tcW w:w="896" w:type="pct"/>
            <w:noWrap/>
            <w:hideMark/>
          </w:tcPr>
          <w:p w:rsidR="00456AD6" w:rsidRPr="00456AD6" w:rsidRDefault="00456AD6" w:rsidP="00456AD6">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rPr>
            </w:pPr>
            <w:r w:rsidRPr="00456AD6">
              <w:rPr>
                <w:rFonts w:ascii="Arial Narrow" w:eastAsia="Times New Roman" w:hAnsi="Arial Narrow" w:cs="Times New Roman"/>
                <w:color w:val="000000"/>
              </w:rPr>
              <w:t>7.0%</w:t>
            </w:r>
          </w:p>
        </w:tc>
        <w:tc>
          <w:tcPr>
            <w:tcW w:w="1020" w:type="pct"/>
            <w:noWrap/>
            <w:hideMark/>
          </w:tcPr>
          <w:p w:rsidR="00456AD6" w:rsidRPr="00456AD6" w:rsidRDefault="00456AD6" w:rsidP="00456AD6">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rPr>
            </w:pPr>
            <w:r w:rsidRPr="00456AD6">
              <w:rPr>
                <w:rFonts w:ascii="Arial Narrow" w:eastAsia="Times New Roman" w:hAnsi="Arial Narrow" w:cs="Times New Roman"/>
                <w:color w:val="000000"/>
              </w:rPr>
              <w:t>21.9%</w:t>
            </w:r>
          </w:p>
        </w:tc>
        <w:tc>
          <w:tcPr>
            <w:tcW w:w="211" w:type="pct"/>
            <w:noWrap/>
            <w:hideMark/>
          </w:tcPr>
          <w:p w:rsidR="00456AD6" w:rsidRPr="00456AD6" w:rsidRDefault="00456AD6" w:rsidP="00456AD6">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rPr>
            </w:pPr>
          </w:p>
        </w:tc>
        <w:tc>
          <w:tcPr>
            <w:tcW w:w="896" w:type="pct"/>
            <w:noWrap/>
            <w:hideMark/>
          </w:tcPr>
          <w:p w:rsidR="00456AD6" w:rsidRPr="00456AD6" w:rsidRDefault="00456AD6" w:rsidP="00456AD6">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rPr>
            </w:pPr>
            <w:r w:rsidRPr="00456AD6">
              <w:rPr>
                <w:rFonts w:ascii="Arial Narrow" w:eastAsia="Times New Roman" w:hAnsi="Arial Narrow" w:cs="Times New Roman"/>
                <w:color w:val="000000"/>
              </w:rPr>
              <w:t>7.0%</w:t>
            </w:r>
          </w:p>
        </w:tc>
        <w:tc>
          <w:tcPr>
            <w:tcW w:w="1020" w:type="pct"/>
            <w:noWrap/>
            <w:hideMark/>
          </w:tcPr>
          <w:p w:rsidR="00456AD6" w:rsidRPr="00456AD6" w:rsidRDefault="00456AD6" w:rsidP="00456AD6">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rPr>
            </w:pPr>
            <w:r w:rsidRPr="00456AD6">
              <w:rPr>
                <w:rFonts w:ascii="Arial Narrow" w:eastAsia="Times New Roman" w:hAnsi="Arial Narrow" w:cs="Times New Roman"/>
                <w:color w:val="000000"/>
              </w:rPr>
              <w:t>33.4%</w:t>
            </w:r>
          </w:p>
        </w:tc>
      </w:tr>
    </w:tbl>
    <w:p w:rsidR="000F0D97" w:rsidRDefault="000F0D97" w:rsidP="000F0D97">
      <w:pPr>
        <w:pStyle w:val="IBSubheading2"/>
        <w:ind w:firstLine="0"/>
        <w:rPr>
          <w:rFonts w:ascii="Calibri" w:hAnsi="Calibri"/>
          <w:i w:val="0"/>
          <w:sz w:val="20"/>
          <w:szCs w:val="20"/>
        </w:rPr>
      </w:pPr>
    </w:p>
    <w:p w:rsidR="00114542" w:rsidRDefault="00114542" w:rsidP="00A871E9">
      <w:pPr>
        <w:pStyle w:val="IBSubheading2"/>
      </w:pPr>
    </w:p>
    <w:p w:rsidR="00A871E9" w:rsidRDefault="001C45C3" w:rsidP="00A871E9">
      <w:pPr>
        <w:pStyle w:val="IBSubheading2"/>
        <w:rPr>
          <w:rFonts w:ascii="Calibri" w:hAnsi="Calibri"/>
          <w:i w:val="0"/>
          <w:sz w:val="20"/>
          <w:szCs w:val="20"/>
        </w:rPr>
      </w:pPr>
      <w:r>
        <w:t xml:space="preserve">Change in Average Revenue per Non-resident FTE </w:t>
      </w:r>
      <w:r w:rsidR="00A9122D">
        <w:t>Student</w:t>
      </w:r>
    </w:p>
    <w:p w:rsidR="00A871E9" w:rsidRDefault="00A871E9" w:rsidP="00A871E9">
      <w:pPr>
        <w:pStyle w:val="IBSubheading2"/>
        <w:ind w:firstLine="0"/>
        <w:rPr>
          <w:rFonts w:ascii="Calibri" w:hAnsi="Calibri"/>
          <w:i w:val="0"/>
          <w:sz w:val="20"/>
          <w:szCs w:val="20"/>
        </w:rPr>
      </w:pPr>
    </w:p>
    <w:p w:rsidR="001C45C3" w:rsidRDefault="001C45C3" w:rsidP="00A871E9">
      <w:pPr>
        <w:pStyle w:val="IBSubheading2"/>
        <w:ind w:firstLine="0"/>
        <w:rPr>
          <w:rFonts w:ascii="Calibri" w:hAnsi="Calibri"/>
          <w:i w:val="0"/>
          <w:sz w:val="20"/>
          <w:szCs w:val="20"/>
        </w:rPr>
      </w:pPr>
      <w:r>
        <w:rPr>
          <w:rFonts w:ascii="Calibri" w:hAnsi="Calibri"/>
          <w:i w:val="0"/>
          <w:sz w:val="20"/>
          <w:szCs w:val="20"/>
        </w:rPr>
        <w:t xml:space="preserve">Regent policy R510, </w:t>
      </w:r>
      <w:r>
        <w:rPr>
          <w:rFonts w:ascii="Calibri" w:hAnsi="Calibri"/>
          <w:sz w:val="20"/>
          <w:szCs w:val="20"/>
        </w:rPr>
        <w:t xml:space="preserve">Tuition and Fees, </w:t>
      </w:r>
      <w:r>
        <w:rPr>
          <w:rFonts w:ascii="Calibri" w:hAnsi="Calibri"/>
          <w:i w:val="0"/>
          <w:sz w:val="20"/>
          <w:szCs w:val="20"/>
        </w:rPr>
        <w:t xml:space="preserve">establishes the policy regarding how the published tuition rate, also known as the </w:t>
      </w:r>
      <w:r w:rsidR="00A9122D">
        <w:rPr>
          <w:rFonts w:ascii="Calibri" w:hAnsi="Calibri"/>
          <w:i w:val="0"/>
          <w:sz w:val="20"/>
          <w:szCs w:val="20"/>
        </w:rPr>
        <w:t>“</w:t>
      </w:r>
      <w:r>
        <w:rPr>
          <w:rFonts w:ascii="Calibri" w:hAnsi="Calibri"/>
          <w:i w:val="0"/>
          <w:sz w:val="20"/>
          <w:szCs w:val="20"/>
        </w:rPr>
        <w:t>sticker price,</w:t>
      </w:r>
      <w:r w:rsidR="00A9122D">
        <w:rPr>
          <w:rFonts w:ascii="Calibri" w:hAnsi="Calibri"/>
          <w:i w:val="0"/>
          <w:sz w:val="20"/>
          <w:szCs w:val="20"/>
        </w:rPr>
        <w:t>”</w:t>
      </w:r>
      <w:r>
        <w:rPr>
          <w:rFonts w:ascii="Calibri" w:hAnsi="Calibri"/>
          <w:i w:val="0"/>
          <w:sz w:val="20"/>
          <w:szCs w:val="20"/>
        </w:rPr>
        <w:t xml:space="preserve"> is set </w:t>
      </w:r>
      <w:r w:rsidR="001B5DE3">
        <w:rPr>
          <w:rFonts w:ascii="Calibri" w:hAnsi="Calibri"/>
          <w:i w:val="0"/>
          <w:sz w:val="20"/>
          <w:szCs w:val="20"/>
        </w:rPr>
        <w:t>at</w:t>
      </w:r>
      <w:r>
        <w:rPr>
          <w:rFonts w:ascii="Calibri" w:hAnsi="Calibri"/>
          <w:i w:val="0"/>
          <w:sz w:val="20"/>
          <w:szCs w:val="20"/>
        </w:rPr>
        <w:t xml:space="preserve"> USHE institutions.  </w:t>
      </w:r>
    </w:p>
    <w:p w:rsidR="00A9122D" w:rsidRDefault="00A9122D" w:rsidP="00A871E9">
      <w:pPr>
        <w:pStyle w:val="IBSubheading2"/>
        <w:ind w:firstLine="0"/>
        <w:rPr>
          <w:rFonts w:ascii="Calibri" w:hAnsi="Calibri"/>
          <w:i w:val="0"/>
          <w:sz w:val="20"/>
          <w:szCs w:val="20"/>
        </w:rPr>
      </w:pPr>
    </w:p>
    <w:p w:rsidR="001C45C3" w:rsidRDefault="001C45C3" w:rsidP="001C45C3">
      <w:pPr>
        <w:pStyle w:val="IBSubheading2"/>
        <w:ind w:left="720" w:firstLine="0"/>
        <w:rPr>
          <w:rFonts w:ascii="Calibri" w:hAnsi="Calibri"/>
          <w:bCs w:val="0"/>
          <w:i w:val="0"/>
          <w:sz w:val="20"/>
          <w:szCs w:val="20"/>
        </w:rPr>
      </w:pPr>
      <w:r w:rsidRPr="001C45C3">
        <w:rPr>
          <w:rFonts w:ascii="Calibri" w:hAnsi="Calibri"/>
          <w:b/>
          <w:i w:val="0"/>
          <w:sz w:val="20"/>
          <w:szCs w:val="20"/>
        </w:rPr>
        <w:t>3.5. Resident/Nonresident Tuition Relationships</w:t>
      </w:r>
      <w:r w:rsidRPr="001C45C3">
        <w:rPr>
          <w:rFonts w:ascii="Calibri" w:hAnsi="Calibri"/>
          <w:bCs w:val="0"/>
          <w:i w:val="0"/>
          <w:sz w:val="20"/>
          <w:szCs w:val="20"/>
        </w:rPr>
        <w:t>: Undergraduate nonresident tuition shall be set at no less than 3.0 times the institutional undergraduate resident tuition rate. The Board may grant exceptions on a case-by-case basis</w:t>
      </w:r>
      <w:r>
        <w:rPr>
          <w:rFonts w:ascii="Calibri" w:hAnsi="Calibri"/>
          <w:bCs w:val="0"/>
          <w:i w:val="0"/>
          <w:sz w:val="20"/>
          <w:szCs w:val="20"/>
        </w:rPr>
        <w:t>.</w:t>
      </w:r>
    </w:p>
    <w:p w:rsidR="001C45C3" w:rsidRDefault="001C45C3" w:rsidP="001C45C3">
      <w:pPr>
        <w:pStyle w:val="IBSubheading2"/>
        <w:ind w:firstLine="0"/>
        <w:rPr>
          <w:rFonts w:ascii="Calibri" w:hAnsi="Calibri"/>
          <w:i w:val="0"/>
          <w:sz w:val="20"/>
          <w:szCs w:val="20"/>
        </w:rPr>
      </w:pPr>
    </w:p>
    <w:p w:rsidR="00A9122D" w:rsidRDefault="001C45C3" w:rsidP="001C45C3">
      <w:pPr>
        <w:pStyle w:val="IBSubheading2"/>
        <w:ind w:firstLine="0"/>
        <w:rPr>
          <w:rFonts w:ascii="Calibri" w:hAnsi="Calibri"/>
          <w:i w:val="0"/>
          <w:sz w:val="20"/>
          <w:szCs w:val="20"/>
        </w:rPr>
      </w:pPr>
      <w:r>
        <w:rPr>
          <w:rFonts w:ascii="Calibri" w:hAnsi="Calibri"/>
          <w:i w:val="0"/>
          <w:sz w:val="20"/>
          <w:szCs w:val="20"/>
        </w:rPr>
        <w:t xml:space="preserve">When advancing </w:t>
      </w:r>
      <w:r w:rsidR="00B8273C">
        <w:rPr>
          <w:rFonts w:ascii="Calibri" w:hAnsi="Calibri"/>
          <w:i w:val="0"/>
          <w:sz w:val="20"/>
          <w:szCs w:val="20"/>
        </w:rPr>
        <w:t>annual tuition adjustment recommendations</w:t>
      </w:r>
      <w:r w:rsidR="00A9122D">
        <w:rPr>
          <w:rFonts w:ascii="Calibri" w:hAnsi="Calibri"/>
          <w:i w:val="0"/>
          <w:sz w:val="20"/>
          <w:szCs w:val="20"/>
        </w:rPr>
        <w:t xml:space="preserve"> to the Board of Regents for approval</w:t>
      </w:r>
      <w:r w:rsidR="00B8273C">
        <w:rPr>
          <w:rFonts w:ascii="Calibri" w:hAnsi="Calibri"/>
          <w:i w:val="0"/>
          <w:sz w:val="20"/>
          <w:szCs w:val="20"/>
        </w:rPr>
        <w:t xml:space="preserve">, </w:t>
      </w:r>
      <w:r>
        <w:rPr>
          <w:rFonts w:ascii="Calibri" w:hAnsi="Calibri"/>
          <w:i w:val="0"/>
          <w:sz w:val="20"/>
          <w:szCs w:val="20"/>
        </w:rPr>
        <w:t>institutions</w:t>
      </w:r>
      <w:r w:rsidRPr="001C45C3">
        <w:rPr>
          <w:rFonts w:ascii="Calibri" w:hAnsi="Calibri"/>
          <w:i w:val="0"/>
          <w:sz w:val="20"/>
          <w:szCs w:val="20"/>
        </w:rPr>
        <w:t xml:space="preserve"> </w:t>
      </w:r>
      <w:r w:rsidR="00B8273C">
        <w:rPr>
          <w:rFonts w:ascii="Calibri" w:hAnsi="Calibri"/>
          <w:i w:val="0"/>
          <w:sz w:val="20"/>
          <w:szCs w:val="20"/>
        </w:rPr>
        <w:t>are required to</w:t>
      </w:r>
      <w:r>
        <w:rPr>
          <w:rFonts w:ascii="Calibri" w:hAnsi="Calibri"/>
          <w:i w:val="0"/>
          <w:sz w:val="20"/>
          <w:szCs w:val="20"/>
        </w:rPr>
        <w:t xml:space="preserve"> forward a proposal for</w:t>
      </w:r>
      <w:r w:rsidR="00A9122D">
        <w:rPr>
          <w:rFonts w:ascii="Calibri" w:hAnsi="Calibri"/>
          <w:i w:val="0"/>
          <w:sz w:val="20"/>
          <w:szCs w:val="20"/>
        </w:rPr>
        <w:t xml:space="preserve"> both resident and</w:t>
      </w:r>
      <w:r>
        <w:rPr>
          <w:rFonts w:ascii="Calibri" w:hAnsi="Calibri"/>
          <w:i w:val="0"/>
          <w:sz w:val="20"/>
          <w:szCs w:val="20"/>
        </w:rPr>
        <w:t xml:space="preserve"> non-resident </w:t>
      </w:r>
      <w:r w:rsidR="00B8273C">
        <w:rPr>
          <w:rFonts w:ascii="Calibri" w:hAnsi="Calibri"/>
          <w:i w:val="0"/>
          <w:sz w:val="20"/>
          <w:szCs w:val="20"/>
        </w:rPr>
        <w:t>tuition rates</w:t>
      </w:r>
      <w:r>
        <w:rPr>
          <w:rFonts w:ascii="Calibri" w:hAnsi="Calibri"/>
          <w:i w:val="0"/>
          <w:sz w:val="20"/>
          <w:szCs w:val="20"/>
        </w:rPr>
        <w:t>.</w:t>
      </w:r>
    </w:p>
    <w:p w:rsidR="00B8273C" w:rsidRDefault="00A9122D" w:rsidP="001C45C3">
      <w:pPr>
        <w:pStyle w:val="IBSubheading2"/>
        <w:ind w:firstLine="0"/>
        <w:rPr>
          <w:rFonts w:ascii="Calibri" w:hAnsi="Calibri"/>
          <w:i w:val="0"/>
          <w:sz w:val="20"/>
          <w:szCs w:val="20"/>
        </w:rPr>
      </w:pPr>
      <w:r>
        <w:rPr>
          <w:rFonts w:ascii="Calibri" w:hAnsi="Calibri"/>
          <w:i w:val="0"/>
          <w:sz w:val="20"/>
          <w:szCs w:val="20"/>
        </w:rPr>
        <w:t xml:space="preserve"> </w:t>
      </w:r>
    </w:p>
    <w:p w:rsidR="00846CA7" w:rsidRPr="00B8273C" w:rsidRDefault="00A9122D" w:rsidP="001C45C3">
      <w:pPr>
        <w:pStyle w:val="IBSubheading2"/>
        <w:ind w:firstLine="0"/>
        <w:rPr>
          <w:rFonts w:ascii="Calibri" w:hAnsi="Calibri"/>
          <w:i w:val="0"/>
          <w:sz w:val="20"/>
          <w:szCs w:val="20"/>
        </w:rPr>
      </w:pPr>
      <w:r>
        <w:rPr>
          <w:rFonts w:ascii="Calibri" w:hAnsi="Calibri"/>
          <w:i w:val="0"/>
          <w:sz w:val="20"/>
          <w:szCs w:val="20"/>
        </w:rPr>
        <w:t xml:space="preserve">How much more tuition do non-resident students actually pay in tuition compared to resident students?  When looking strictly at average net tuition collected per student -  using a calculated full-time equivalent student (FTE),the average net tuition collected per non-resident student decreased from 2.21 to 1.57 times resident tuition    between </w:t>
      </w:r>
      <w:r w:rsidR="00757BF7">
        <w:rPr>
          <w:rFonts w:ascii="Calibri" w:hAnsi="Calibri"/>
          <w:i w:val="0"/>
          <w:sz w:val="20"/>
          <w:szCs w:val="20"/>
        </w:rPr>
        <w:t xml:space="preserve">FY </w:t>
      </w:r>
      <w:r>
        <w:rPr>
          <w:rFonts w:ascii="Calibri" w:hAnsi="Calibri"/>
          <w:i w:val="0"/>
          <w:sz w:val="20"/>
          <w:szCs w:val="20"/>
        </w:rPr>
        <w:t xml:space="preserve">2006-07 and </w:t>
      </w:r>
      <w:r w:rsidR="00757BF7">
        <w:rPr>
          <w:rFonts w:ascii="Calibri" w:hAnsi="Calibri"/>
          <w:i w:val="0"/>
          <w:sz w:val="20"/>
          <w:szCs w:val="20"/>
        </w:rPr>
        <w:t xml:space="preserve">FY </w:t>
      </w:r>
      <w:r>
        <w:rPr>
          <w:rFonts w:ascii="Calibri" w:hAnsi="Calibri"/>
          <w:i w:val="0"/>
          <w:sz w:val="20"/>
          <w:szCs w:val="20"/>
        </w:rPr>
        <w:t xml:space="preserve">2015-16 </w:t>
      </w:r>
      <w:r w:rsidR="00727744">
        <w:rPr>
          <w:rFonts w:ascii="Calibri" w:hAnsi="Calibri"/>
          <w:i w:val="0"/>
          <w:sz w:val="20"/>
          <w:szCs w:val="20"/>
        </w:rPr>
        <w:t xml:space="preserve">.  </w:t>
      </w:r>
    </w:p>
    <w:p w:rsidR="00A871E9" w:rsidRDefault="00757BF7" w:rsidP="00757BF7">
      <w:pPr>
        <w:pStyle w:val="IBSubheading2"/>
        <w:ind w:firstLine="0"/>
        <w:jc w:val="center"/>
        <w:rPr>
          <w:rFonts w:ascii="Calibri" w:hAnsi="Calibri"/>
          <w:i w:val="0"/>
          <w:sz w:val="20"/>
          <w:szCs w:val="20"/>
        </w:rPr>
      </w:pPr>
      <w:r>
        <w:rPr>
          <w:rFonts w:ascii="Calibri" w:hAnsi="Calibri"/>
          <w:i w:val="0"/>
          <w:noProof/>
          <w:sz w:val="20"/>
          <w:szCs w:val="20"/>
        </w:rPr>
        <w:drawing>
          <wp:inline distT="0" distB="0" distL="0" distR="0" wp14:anchorId="62E0FACE" wp14:editId="6C02A1C0">
            <wp:extent cx="5740243" cy="23469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39" cy="2354808"/>
                    </a:xfrm>
                    <a:prstGeom prst="rect">
                      <a:avLst/>
                    </a:prstGeom>
                    <a:noFill/>
                    <a:ln>
                      <a:noFill/>
                    </a:ln>
                  </pic:spPr>
                </pic:pic>
              </a:graphicData>
            </a:graphic>
          </wp:inline>
        </w:drawing>
      </w:r>
    </w:p>
    <w:p w:rsidR="00A871E9" w:rsidRDefault="00A871E9" w:rsidP="00A871E9">
      <w:pPr>
        <w:pStyle w:val="IBSubheading2"/>
        <w:ind w:firstLine="0"/>
        <w:rPr>
          <w:rFonts w:ascii="Calibri" w:hAnsi="Calibri"/>
          <w:i w:val="0"/>
          <w:sz w:val="20"/>
          <w:szCs w:val="20"/>
        </w:rPr>
      </w:pPr>
    </w:p>
    <w:p w:rsidR="00727744" w:rsidRDefault="00727744" w:rsidP="00727744">
      <w:pPr>
        <w:pStyle w:val="IBSubheading2"/>
        <w:ind w:firstLine="0"/>
        <w:rPr>
          <w:rFonts w:ascii="Calibri" w:hAnsi="Calibri"/>
          <w:i w:val="0"/>
          <w:sz w:val="20"/>
          <w:szCs w:val="20"/>
        </w:rPr>
      </w:pPr>
      <w:r>
        <w:rPr>
          <w:rFonts w:ascii="Calibri" w:hAnsi="Calibri"/>
          <w:i w:val="0"/>
          <w:sz w:val="20"/>
          <w:szCs w:val="20"/>
        </w:rPr>
        <w:t xml:space="preserve">The change in the average tuition collected per non-resident FTE is a result of the increased use of non-resident tuition waivers over the last decade.  There are several factors that contributed to the growth in use of non-resident tuition waivers over the last 10 years including the following: </w:t>
      </w:r>
    </w:p>
    <w:p w:rsidR="00727744" w:rsidRDefault="00727744" w:rsidP="00727744">
      <w:pPr>
        <w:pStyle w:val="IBSubheading2"/>
        <w:ind w:firstLine="0"/>
        <w:rPr>
          <w:rFonts w:ascii="Calibri" w:hAnsi="Calibri"/>
          <w:i w:val="0"/>
          <w:sz w:val="20"/>
          <w:szCs w:val="20"/>
        </w:rPr>
      </w:pPr>
    </w:p>
    <w:p w:rsidR="00727744" w:rsidRPr="00F63AFC" w:rsidRDefault="00727744" w:rsidP="00727744">
      <w:pPr>
        <w:pStyle w:val="IBSubheading2"/>
        <w:numPr>
          <w:ilvl w:val="0"/>
          <w:numId w:val="13"/>
        </w:numPr>
        <w:rPr>
          <w:rFonts w:ascii="Calibri" w:hAnsi="Calibri"/>
          <w:i w:val="0"/>
          <w:sz w:val="20"/>
          <w:szCs w:val="20"/>
        </w:rPr>
      </w:pPr>
      <w:r w:rsidRPr="00F63AFC">
        <w:rPr>
          <w:rFonts w:ascii="Calibri" w:hAnsi="Calibri"/>
          <w:i w:val="0"/>
          <w:sz w:val="20"/>
          <w:szCs w:val="20"/>
        </w:rPr>
        <w:t>The Great Recession (2008-2012)</w:t>
      </w:r>
    </w:p>
    <w:p w:rsidR="00727744" w:rsidRPr="00F63AFC" w:rsidRDefault="00727744" w:rsidP="00727744">
      <w:pPr>
        <w:pStyle w:val="IBSubheading2"/>
        <w:numPr>
          <w:ilvl w:val="1"/>
          <w:numId w:val="13"/>
        </w:numPr>
        <w:rPr>
          <w:rFonts w:ascii="Calibri" w:hAnsi="Calibri"/>
          <w:i w:val="0"/>
          <w:sz w:val="20"/>
          <w:szCs w:val="20"/>
        </w:rPr>
      </w:pPr>
      <w:r w:rsidRPr="00F63AFC">
        <w:rPr>
          <w:rFonts w:ascii="Calibri" w:hAnsi="Calibri"/>
          <w:i w:val="0"/>
          <w:sz w:val="20"/>
          <w:szCs w:val="20"/>
        </w:rPr>
        <w:t>Increased economic pressures on state tax funds</w:t>
      </w:r>
    </w:p>
    <w:p w:rsidR="00727744" w:rsidRPr="00F63AFC" w:rsidRDefault="00727744" w:rsidP="00727744">
      <w:pPr>
        <w:pStyle w:val="IBSubheading2"/>
        <w:numPr>
          <w:ilvl w:val="1"/>
          <w:numId w:val="13"/>
        </w:numPr>
        <w:rPr>
          <w:rFonts w:ascii="Calibri" w:hAnsi="Calibri"/>
          <w:i w:val="0"/>
          <w:sz w:val="20"/>
          <w:szCs w:val="20"/>
        </w:rPr>
      </w:pPr>
      <w:r w:rsidRPr="00F63AFC">
        <w:rPr>
          <w:rFonts w:ascii="Calibri" w:hAnsi="Calibri"/>
          <w:i w:val="0"/>
          <w:sz w:val="20"/>
          <w:szCs w:val="20"/>
        </w:rPr>
        <w:t>Increased pressure to “diversify” revenue streams</w:t>
      </w:r>
    </w:p>
    <w:p w:rsidR="00727744" w:rsidRPr="00F63AFC" w:rsidRDefault="00727744" w:rsidP="00727744">
      <w:pPr>
        <w:pStyle w:val="IBSubheading2"/>
        <w:numPr>
          <w:ilvl w:val="0"/>
          <w:numId w:val="13"/>
        </w:numPr>
        <w:rPr>
          <w:rFonts w:ascii="Calibri" w:hAnsi="Calibri"/>
          <w:i w:val="0"/>
          <w:sz w:val="20"/>
          <w:szCs w:val="20"/>
        </w:rPr>
      </w:pPr>
      <w:r w:rsidRPr="00F63AFC">
        <w:rPr>
          <w:rFonts w:ascii="Calibri" w:hAnsi="Calibri"/>
          <w:i w:val="0"/>
          <w:sz w:val="20"/>
          <w:szCs w:val="20"/>
        </w:rPr>
        <w:t>Legislat</w:t>
      </w:r>
      <w:r w:rsidR="008F3250">
        <w:rPr>
          <w:rFonts w:ascii="Calibri" w:hAnsi="Calibri"/>
          <w:i w:val="0"/>
          <w:sz w:val="20"/>
          <w:szCs w:val="20"/>
        </w:rPr>
        <w:t>ive approval of</w:t>
      </w:r>
      <w:r w:rsidRPr="00F63AFC">
        <w:rPr>
          <w:rFonts w:ascii="Calibri" w:hAnsi="Calibri"/>
          <w:i w:val="0"/>
          <w:sz w:val="20"/>
          <w:szCs w:val="20"/>
        </w:rPr>
        <w:t xml:space="preserve"> additional non-resident tuition waivers (2009)</w:t>
      </w:r>
    </w:p>
    <w:p w:rsidR="00727744" w:rsidRPr="00F63AFC" w:rsidRDefault="00727744" w:rsidP="00727744">
      <w:pPr>
        <w:pStyle w:val="IBSubheading2"/>
        <w:numPr>
          <w:ilvl w:val="1"/>
          <w:numId w:val="13"/>
        </w:numPr>
        <w:rPr>
          <w:rFonts w:ascii="Calibri" w:hAnsi="Calibri"/>
          <w:i w:val="0"/>
          <w:sz w:val="20"/>
          <w:szCs w:val="20"/>
        </w:rPr>
      </w:pPr>
      <w:r w:rsidRPr="00F63AFC">
        <w:rPr>
          <w:rFonts w:ascii="Calibri" w:hAnsi="Calibri"/>
          <w:i w:val="0"/>
          <w:sz w:val="20"/>
          <w:szCs w:val="20"/>
        </w:rPr>
        <w:t>Legacy Alumni Waivers</w:t>
      </w:r>
    </w:p>
    <w:p w:rsidR="00727744" w:rsidRPr="00F63AFC" w:rsidRDefault="00727744" w:rsidP="00727744">
      <w:pPr>
        <w:pStyle w:val="IBSubheading2"/>
        <w:numPr>
          <w:ilvl w:val="1"/>
          <w:numId w:val="13"/>
        </w:numPr>
        <w:rPr>
          <w:rFonts w:ascii="Calibri" w:hAnsi="Calibri"/>
          <w:i w:val="0"/>
          <w:sz w:val="20"/>
          <w:szCs w:val="20"/>
        </w:rPr>
      </w:pPr>
      <w:r w:rsidRPr="00F63AFC">
        <w:rPr>
          <w:rFonts w:ascii="Calibri" w:hAnsi="Calibri"/>
          <w:i w:val="0"/>
          <w:sz w:val="20"/>
          <w:szCs w:val="20"/>
        </w:rPr>
        <w:t>Dixie Good Neighbor Waivers</w:t>
      </w:r>
    </w:p>
    <w:p w:rsidR="00727744" w:rsidRPr="00F63AFC" w:rsidRDefault="00727744" w:rsidP="00727744">
      <w:pPr>
        <w:pStyle w:val="IBSubheading2"/>
        <w:numPr>
          <w:ilvl w:val="0"/>
          <w:numId w:val="13"/>
        </w:numPr>
        <w:rPr>
          <w:rFonts w:ascii="Calibri" w:hAnsi="Calibri"/>
          <w:i w:val="0"/>
          <w:sz w:val="20"/>
          <w:szCs w:val="20"/>
        </w:rPr>
      </w:pPr>
      <w:r w:rsidRPr="00F63AFC">
        <w:rPr>
          <w:rFonts w:ascii="Calibri" w:hAnsi="Calibri"/>
          <w:i w:val="0"/>
          <w:sz w:val="20"/>
          <w:szCs w:val="20"/>
        </w:rPr>
        <w:t xml:space="preserve">Regent policy </w:t>
      </w:r>
      <w:r w:rsidR="0091074B">
        <w:rPr>
          <w:rFonts w:ascii="Calibri" w:hAnsi="Calibri"/>
          <w:i w:val="0"/>
          <w:sz w:val="20"/>
          <w:szCs w:val="20"/>
        </w:rPr>
        <w:t xml:space="preserve">R513, </w:t>
      </w:r>
      <w:r w:rsidR="0091074B">
        <w:rPr>
          <w:rFonts w:ascii="Calibri" w:hAnsi="Calibri"/>
          <w:sz w:val="20"/>
          <w:szCs w:val="20"/>
        </w:rPr>
        <w:t>Tuition Waivers and Reductions</w:t>
      </w:r>
      <w:r w:rsidR="0091074B">
        <w:rPr>
          <w:rFonts w:ascii="Calibri" w:hAnsi="Calibri"/>
          <w:i w:val="0"/>
          <w:sz w:val="20"/>
          <w:szCs w:val="20"/>
        </w:rPr>
        <w:t xml:space="preserve"> </w:t>
      </w:r>
      <w:r w:rsidRPr="00F63AFC">
        <w:rPr>
          <w:rFonts w:ascii="Calibri" w:hAnsi="Calibri"/>
          <w:i w:val="0"/>
          <w:sz w:val="20"/>
          <w:szCs w:val="20"/>
        </w:rPr>
        <w:t xml:space="preserve">change </w:t>
      </w:r>
      <w:r w:rsidR="0091074B">
        <w:rPr>
          <w:rFonts w:ascii="Calibri" w:hAnsi="Calibri"/>
          <w:i w:val="0"/>
          <w:sz w:val="20"/>
          <w:szCs w:val="20"/>
        </w:rPr>
        <w:t xml:space="preserve"> </w:t>
      </w:r>
      <w:r w:rsidRPr="00F63AFC">
        <w:rPr>
          <w:rFonts w:ascii="Calibri" w:hAnsi="Calibri"/>
          <w:i w:val="0"/>
          <w:sz w:val="20"/>
          <w:szCs w:val="20"/>
        </w:rPr>
        <w:t>to remove the cap on WICHE Western Undergraduate Exchange Waivers</w:t>
      </w:r>
      <w:r w:rsidR="00AC2757">
        <w:rPr>
          <w:rFonts w:ascii="Calibri" w:hAnsi="Calibri"/>
          <w:i w:val="0"/>
          <w:sz w:val="20"/>
          <w:szCs w:val="20"/>
        </w:rPr>
        <w:t xml:space="preserve"> (March 2013)</w:t>
      </w:r>
    </w:p>
    <w:p w:rsidR="00727744" w:rsidRPr="00F63AFC" w:rsidRDefault="00727744" w:rsidP="00727744">
      <w:pPr>
        <w:pStyle w:val="IBSubheading2"/>
        <w:numPr>
          <w:ilvl w:val="0"/>
          <w:numId w:val="13"/>
        </w:numPr>
        <w:rPr>
          <w:rFonts w:ascii="Calibri" w:hAnsi="Calibri"/>
          <w:i w:val="0"/>
          <w:sz w:val="20"/>
          <w:szCs w:val="20"/>
        </w:rPr>
      </w:pPr>
      <w:r w:rsidRPr="00F63AFC">
        <w:rPr>
          <w:rFonts w:ascii="Calibri" w:hAnsi="Calibri"/>
          <w:i w:val="0"/>
          <w:sz w:val="20"/>
          <w:szCs w:val="20"/>
        </w:rPr>
        <w:t>Missionary age change (2012)</w:t>
      </w:r>
    </w:p>
    <w:p w:rsidR="00727744" w:rsidRPr="00F63AFC" w:rsidRDefault="00727744" w:rsidP="00727744">
      <w:pPr>
        <w:pStyle w:val="IBSubheading2"/>
        <w:numPr>
          <w:ilvl w:val="1"/>
          <w:numId w:val="13"/>
        </w:numPr>
        <w:rPr>
          <w:rFonts w:ascii="Calibri" w:hAnsi="Calibri"/>
          <w:i w:val="0"/>
          <w:sz w:val="20"/>
          <w:szCs w:val="20"/>
        </w:rPr>
      </w:pPr>
      <w:r w:rsidRPr="00F63AFC">
        <w:rPr>
          <w:rFonts w:ascii="Calibri" w:hAnsi="Calibri"/>
          <w:i w:val="0"/>
          <w:sz w:val="20"/>
          <w:szCs w:val="20"/>
        </w:rPr>
        <w:t>Temporary enrollment declines in resident students</w:t>
      </w:r>
    </w:p>
    <w:p w:rsidR="00727744" w:rsidRPr="00F63AFC" w:rsidRDefault="00727744" w:rsidP="00727744">
      <w:pPr>
        <w:pStyle w:val="IBSubheading2"/>
        <w:numPr>
          <w:ilvl w:val="0"/>
          <w:numId w:val="13"/>
        </w:numPr>
        <w:rPr>
          <w:rFonts w:ascii="Calibri" w:hAnsi="Calibri"/>
          <w:i w:val="0"/>
          <w:sz w:val="20"/>
          <w:szCs w:val="20"/>
        </w:rPr>
      </w:pPr>
      <w:r w:rsidRPr="00F63AFC">
        <w:rPr>
          <w:rFonts w:ascii="Calibri" w:hAnsi="Calibri"/>
          <w:i w:val="0"/>
          <w:sz w:val="20"/>
          <w:szCs w:val="20"/>
        </w:rPr>
        <w:t>Increased competition to recruit non-resident students nationally</w:t>
      </w:r>
    </w:p>
    <w:p w:rsidR="00727744" w:rsidRPr="00F63AFC" w:rsidRDefault="00727744" w:rsidP="00727744">
      <w:pPr>
        <w:pStyle w:val="IBSubheading2"/>
        <w:numPr>
          <w:ilvl w:val="1"/>
          <w:numId w:val="13"/>
        </w:numPr>
        <w:rPr>
          <w:rFonts w:ascii="Calibri" w:hAnsi="Calibri"/>
          <w:i w:val="0"/>
          <w:sz w:val="20"/>
          <w:szCs w:val="20"/>
        </w:rPr>
      </w:pPr>
      <w:r w:rsidRPr="00F63AFC">
        <w:rPr>
          <w:rFonts w:ascii="Calibri" w:hAnsi="Calibri"/>
          <w:i w:val="0"/>
          <w:sz w:val="20"/>
          <w:szCs w:val="20"/>
        </w:rPr>
        <w:t>Decreased enrollments across higher education nationally</w:t>
      </w:r>
    </w:p>
    <w:p w:rsidR="00727744" w:rsidRPr="00114542" w:rsidRDefault="00727744" w:rsidP="00114542">
      <w:pPr>
        <w:pStyle w:val="IBSubheading2"/>
        <w:numPr>
          <w:ilvl w:val="1"/>
          <w:numId w:val="13"/>
        </w:numPr>
        <w:rPr>
          <w:rFonts w:ascii="Calibri" w:hAnsi="Calibri"/>
          <w:i w:val="0"/>
          <w:sz w:val="20"/>
          <w:szCs w:val="20"/>
        </w:rPr>
      </w:pPr>
      <w:r w:rsidRPr="00F63AFC">
        <w:rPr>
          <w:rFonts w:ascii="Calibri" w:hAnsi="Calibri"/>
          <w:i w:val="0"/>
          <w:sz w:val="20"/>
          <w:szCs w:val="20"/>
        </w:rPr>
        <w:t>Students expect institutions to offer discounts to attend</w:t>
      </w:r>
    </w:p>
    <w:p w:rsidR="001B5DE3" w:rsidRDefault="001B5DE3" w:rsidP="00AB1DC3">
      <w:pPr>
        <w:pStyle w:val="IBSubheading2"/>
        <w:ind w:firstLine="0"/>
        <w:rPr>
          <w:rFonts w:ascii="Calibri" w:hAnsi="Calibri"/>
          <w:i w:val="0"/>
          <w:sz w:val="20"/>
          <w:szCs w:val="20"/>
        </w:rPr>
      </w:pPr>
      <w:r>
        <w:rPr>
          <w:rFonts w:ascii="Calibri" w:hAnsi="Calibri"/>
          <w:i w:val="0"/>
          <w:sz w:val="20"/>
          <w:szCs w:val="20"/>
        </w:rPr>
        <w:t>The Board recognizes that the system enrollment will continue to grow and ha</w:t>
      </w:r>
      <w:r w:rsidR="00BB6CC0">
        <w:rPr>
          <w:rFonts w:ascii="Calibri" w:hAnsi="Calibri"/>
          <w:i w:val="0"/>
          <w:sz w:val="20"/>
          <w:szCs w:val="20"/>
        </w:rPr>
        <w:t>s estimated that an additional 6</w:t>
      </w:r>
      <w:r>
        <w:rPr>
          <w:rFonts w:ascii="Calibri" w:hAnsi="Calibri"/>
          <w:i w:val="0"/>
          <w:sz w:val="20"/>
          <w:szCs w:val="20"/>
        </w:rPr>
        <w:t xml:space="preserve">0,000 + students will attend USHE institutions over the next 10 years.  This growth will likely be comprised of both residents and non-resident students </w:t>
      </w:r>
      <w:r w:rsidR="00F07095">
        <w:rPr>
          <w:rFonts w:ascii="Calibri" w:hAnsi="Calibri"/>
          <w:i w:val="0"/>
          <w:sz w:val="20"/>
          <w:szCs w:val="20"/>
        </w:rPr>
        <w:t xml:space="preserve">in order </w:t>
      </w:r>
      <w:r>
        <w:rPr>
          <w:rFonts w:ascii="Calibri" w:hAnsi="Calibri"/>
          <w:i w:val="0"/>
          <w:sz w:val="20"/>
          <w:szCs w:val="20"/>
        </w:rPr>
        <w:t>to help keep the USHE institutions and state economically strong and viable</w:t>
      </w:r>
      <w:r w:rsidR="00F07095">
        <w:rPr>
          <w:rFonts w:ascii="Calibri" w:hAnsi="Calibri"/>
          <w:i w:val="0"/>
          <w:sz w:val="20"/>
          <w:szCs w:val="20"/>
        </w:rPr>
        <w:t xml:space="preserve"> and t</w:t>
      </w:r>
      <w:r>
        <w:rPr>
          <w:rFonts w:ascii="Calibri" w:hAnsi="Calibri"/>
          <w:i w:val="0"/>
          <w:sz w:val="20"/>
          <w:szCs w:val="20"/>
        </w:rPr>
        <w:t xml:space="preserve">o meet </w:t>
      </w:r>
      <w:r w:rsidR="00F07095">
        <w:rPr>
          <w:rFonts w:ascii="Calibri" w:hAnsi="Calibri"/>
          <w:i w:val="0"/>
          <w:sz w:val="20"/>
          <w:szCs w:val="20"/>
        </w:rPr>
        <w:t xml:space="preserve">the growing </w:t>
      </w:r>
      <w:r>
        <w:rPr>
          <w:rFonts w:ascii="Calibri" w:hAnsi="Calibri"/>
          <w:i w:val="0"/>
          <w:sz w:val="20"/>
          <w:szCs w:val="20"/>
        </w:rPr>
        <w:t>employer needs in the state</w:t>
      </w:r>
      <w:r w:rsidR="00F07095">
        <w:rPr>
          <w:rFonts w:ascii="Calibri" w:hAnsi="Calibri"/>
          <w:i w:val="0"/>
          <w:sz w:val="20"/>
          <w:szCs w:val="20"/>
        </w:rPr>
        <w:t>.  The Board recognizes that i</w:t>
      </w:r>
      <w:r>
        <w:rPr>
          <w:rFonts w:ascii="Calibri" w:hAnsi="Calibri"/>
          <w:i w:val="0"/>
          <w:sz w:val="20"/>
          <w:szCs w:val="20"/>
        </w:rPr>
        <w:t xml:space="preserve">t will be necessary to import talent to the state and higher education has a role to play in educating that talent. </w:t>
      </w:r>
    </w:p>
    <w:p w:rsidR="001B5DE3" w:rsidRDefault="001B5DE3" w:rsidP="00AB1DC3">
      <w:pPr>
        <w:pStyle w:val="IBSubheading2"/>
        <w:ind w:firstLine="0"/>
        <w:rPr>
          <w:rFonts w:ascii="Calibri" w:hAnsi="Calibri"/>
          <w:i w:val="0"/>
          <w:sz w:val="20"/>
          <w:szCs w:val="20"/>
        </w:rPr>
      </w:pPr>
    </w:p>
    <w:p w:rsidR="00AB1DC3" w:rsidRPr="00D97A81" w:rsidRDefault="001B5DE3" w:rsidP="00AB1DC3">
      <w:pPr>
        <w:pStyle w:val="IBSubheading2"/>
        <w:ind w:firstLine="0"/>
        <w:rPr>
          <w:rFonts w:ascii="Calibri" w:hAnsi="Calibri"/>
          <w:b/>
          <w:i w:val="0"/>
          <w:sz w:val="20"/>
          <w:szCs w:val="20"/>
        </w:rPr>
      </w:pPr>
      <w:r>
        <w:rPr>
          <w:rFonts w:ascii="Calibri" w:hAnsi="Calibri"/>
          <w:i w:val="0"/>
          <w:sz w:val="20"/>
          <w:szCs w:val="20"/>
        </w:rPr>
        <w:t>If we use the last 10 years as a gauge to measure what our enrollment mix look like moving forward, we will continue to see a growth in the number of non-resident students we serve as a percentage of our total student population.  G</w:t>
      </w:r>
      <w:r w:rsidR="00AB1DC3">
        <w:rPr>
          <w:rFonts w:ascii="Calibri" w:hAnsi="Calibri"/>
          <w:i w:val="0"/>
          <w:sz w:val="20"/>
          <w:szCs w:val="20"/>
        </w:rPr>
        <w:t xml:space="preserve">rowth in budget-related non-resident students over the last 10 years increased from 10.6% to 15.5% of the total budget-related annualized FTE students.  This growth in non-residents is likely a reflection of the more aggressive recruitment strategies utilizing non-resident tuition waivers to help USHE institutions manage enrollment levels during the economic downturn and when the LDS missionary age change went into effect in 2012. </w:t>
      </w:r>
    </w:p>
    <w:p w:rsidR="00AB1DC3" w:rsidRDefault="00AB1DC3" w:rsidP="00727744">
      <w:pPr>
        <w:pStyle w:val="IBSubheading2"/>
        <w:ind w:firstLine="0"/>
        <w:rPr>
          <w:rFonts w:ascii="Calibri" w:hAnsi="Calibri"/>
          <w:b/>
          <w:i w:val="0"/>
          <w:sz w:val="20"/>
          <w:szCs w:val="20"/>
        </w:rPr>
      </w:pPr>
    </w:p>
    <w:p w:rsidR="00727744" w:rsidRDefault="00727744" w:rsidP="00727744">
      <w:pPr>
        <w:pStyle w:val="IBSubheading2"/>
        <w:ind w:firstLine="0"/>
        <w:rPr>
          <w:rFonts w:ascii="Calibri" w:hAnsi="Calibri"/>
          <w:i w:val="0"/>
          <w:sz w:val="20"/>
          <w:szCs w:val="20"/>
        </w:rPr>
      </w:pPr>
      <w:r>
        <w:rPr>
          <w:rFonts w:ascii="Calibri" w:hAnsi="Calibri"/>
          <w:i w:val="0"/>
          <w:sz w:val="20"/>
          <w:szCs w:val="20"/>
        </w:rPr>
        <w:t xml:space="preserve">The enrollment strategies implemented over the last 10 years were focused on how to not only emerge from the economic downturn in a strong financial position, but also to address the enrollment impact associated with the </w:t>
      </w:r>
      <w:r w:rsidR="00757BF7">
        <w:rPr>
          <w:rFonts w:ascii="Calibri" w:hAnsi="Calibri"/>
          <w:i w:val="0"/>
          <w:sz w:val="20"/>
          <w:szCs w:val="20"/>
        </w:rPr>
        <w:t xml:space="preserve">LDS </w:t>
      </w:r>
      <w:r>
        <w:rPr>
          <w:rFonts w:ascii="Calibri" w:hAnsi="Calibri"/>
          <w:i w:val="0"/>
          <w:sz w:val="20"/>
          <w:szCs w:val="20"/>
        </w:rPr>
        <w:t xml:space="preserve">missionary age change that resulted in more residents </w:t>
      </w:r>
      <w:r w:rsidR="00757BF7">
        <w:rPr>
          <w:rFonts w:ascii="Calibri" w:hAnsi="Calibri"/>
          <w:i w:val="0"/>
          <w:sz w:val="20"/>
          <w:szCs w:val="20"/>
        </w:rPr>
        <w:t xml:space="preserve">deferring college attendance for </w:t>
      </w:r>
      <w:r>
        <w:rPr>
          <w:rFonts w:ascii="Calibri" w:hAnsi="Calibri"/>
          <w:i w:val="0"/>
          <w:sz w:val="20"/>
          <w:szCs w:val="20"/>
        </w:rPr>
        <w:t>ecclesiastical service immediate</w:t>
      </w:r>
      <w:r w:rsidR="008F3250">
        <w:rPr>
          <w:rFonts w:ascii="Calibri" w:hAnsi="Calibri"/>
          <w:i w:val="0"/>
          <w:sz w:val="20"/>
          <w:szCs w:val="20"/>
        </w:rPr>
        <w:t>ly</w:t>
      </w:r>
      <w:r>
        <w:rPr>
          <w:rFonts w:ascii="Calibri" w:hAnsi="Calibri"/>
          <w:i w:val="0"/>
          <w:sz w:val="20"/>
          <w:szCs w:val="20"/>
        </w:rPr>
        <w:t xml:space="preserve"> after high school graduation</w:t>
      </w:r>
      <w:r w:rsidR="008F3250">
        <w:rPr>
          <w:rFonts w:ascii="Calibri" w:hAnsi="Calibri"/>
          <w:i w:val="0"/>
          <w:sz w:val="20"/>
          <w:szCs w:val="20"/>
        </w:rPr>
        <w:t xml:space="preserve"> and</w:t>
      </w:r>
      <w:r w:rsidR="001B5DE3">
        <w:rPr>
          <w:rFonts w:ascii="Calibri" w:hAnsi="Calibri"/>
          <w:i w:val="0"/>
          <w:sz w:val="20"/>
          <w:szCs w:val="20"/>
        </w:rPr>
        <w:t xml:space="preserve"> before entering college.</w:t>
      </w:r>
      <w:r>
        <w:rPr>
          <w:rFonts w:ascii="Calibri" w:hAnsi="Calibri"/>
          <w:i w:val="0"/>
          <w:sz w:val="20"/>
          <w:szCs w:val="20"/>
        </w:rPr>
        <w:t xml:space="preserve"> Institutions were successful in their enrollment strategies as demonstrated by the growth that occurred during this time frame for both residents and non-resident students.  The system grew by 19,870 budget-related annualized FTE (20%).  Budget-related annualized FTE student growth was comprised of 60% Utah residents (12,015 FTE) and 40% non-residents (7,855 FTE). </w:t>
      </w:r>
      <w:r w:rsidR="001B5DE3">
        <w:rPr>
          <w:rFonts w:ascii="Calibri" w:hAnsi="Calibri"/>
          <w:i w:val="0"/>
          <w:sz w:val="20"/>
          <w:szCs w:val="20"/>
        </w:rPr>
        <w:t xml:space="preserve"> It is important for the Board to understand institution enrollment strategies for the next 10 years and </w:t>
      </w:r>
      <w:r w:rsidR="0053339A">
        <w:rPr>
          <w:rFonts w:ascii="Calibri" w:hAnsi="Calibri"/>
          <w:i w:val="0"/>
          <w:sz w:val="20"/>
          <w:szCs w:val="20"/>
        </w:rPr>
        <w:t xml:space="preserve">identify </w:t>
      </w:r>
      <w:r w:rsidR="00F07095">
        <w:rPr>
          <w:rFonts w:ascii="Calibri" w:hAnsi="Calibri"/>
          <w:i w:val="0"/>
          <w:sz w:val="20"/>
          <w:szCs w:val="20"/>
        </w:rPr>
        <w:t xml:space="preserve">how to assess how effective the institutions are meeting their enrollment strategies and how tuition waivers will be utilized to support that strategy. </w:t>
      </w:r>
    </w:p>
    <w:p w:rsidR="00727744" w:rsidRPr="00BF51AE" w:rsidRDefault="00727744" w:rsidP="00727744">
      <w:pPr>
        <w:pStyle w:val="IBSubheading2"/>
        <w:ind w:firstLine="0"/>
        <w:rPr>
          <w:rFonts w:ascii="Calibri" w:hAnsi="Calibri"/>
          <w:b/>
          <w:i w:val="0"/>
          <w:sz w:val="20"/>
          <w:szCs w:val="20"/>
        </w:rPr>
      </w:pPr>
    </w:p>
    <w:p w:rsidR="003D34B4" w:rsidRDefault="003D34B4" w:rsidP="00727744">
      <w:pPr>
        <w:pStyle w:val="IBSubheading2"/>
        <w:ind w:firstLine="0"/>
        <w:rPr>
          <w:noProof/>
        </w:rPr>
      </w:pPr>
    </w:p>
    <w:p w:rsidR="003D34B4" w:rsidRDefault="003D34B4" w:rsidP="00727744">
      <w:pPr>
        <w:pStyle w:val="IBSubheading2"/>
        <w:ind w:firstLine="0"/>
        <w:rPr>
          <w:noProof/>
        </w:rPr>
      </w:pPr>
    </w:p>
    <w:p w:rsidR="003D34B4" w:rsidRDefault="003D34B4" w:rsidP="00B24B00">
      <w:pPr>
        <w:pStyle w:val="IBSubheading2"/>
        <w:rPr>
          <w:noProof/>
        </w:rPr>
      </w:pPr>
    </w:p>
    <w:p w:rsidR="003D34B4" w:rsidRDefault="003D34B4" w:rsidP="00B24B00">
      <w:pPr>
        <w:pStyle w:val="IBSubheading2"/>
        <w:rPr>
          <w:noProof/>
        </w:rPr>
      </w:pPr>
    </w:p>
    <w:p w:rsidR="003D34B4" w:rsidRDefault="003D34B4" w:rsidP="00B24B00">
      <w:pPr>
        <w:pStyle w:val="IBSubheading2"/>
        <w:rPr>
          <w:noProof/>
        </w:rPr>
      </w:pPr>
    </w:p>
    <w:p w:rsidR="003D34B4" w:rsidRDefault="003D34B4" w:rsidP="00B24B00">
      <w:pPr>
        <w:pStyle w:val="IBSubheading2"/>
        <w:rPr>
          <w:noProof/>
        </w:rPr>
      </w:pPr>
    </w:p>
    <w:p w:rsidR="003D34B4" w:rsidRDefault="003D34B4" w:rsidP="00B24B00">
      <w:pPr>
        <w:pStyle w:val="IBSubheading2"/>
        <w:rPr>
          <w:noProof/>
        </w:rPr>
      </w:pPr>
    </w:p>
    <w:p w:rsidR="003D34B4" w:rsidRDefault="003D34B4" w:rsidP="00B24B00">
      <w:pPr>
        <w:pStyle w:val="IBSubheading2"/>
        <w:rPr>
          <w:noProof/>
        </w:rPr>
      </w:pPr>
    </w:p>
    <w:p w:rsidR="003D34B4" w:rsidRDefault="003D34B4" w:rsidP="00B24B00">
      <w:pPr>
        <w:pStyle w:val="IBSubheading2"/>
        <w:rPr>
          <w:noProof/>
        </w:rPr>
      </w:pPr>
    </w:p>
    <w:p w:rsidR="003D34B4" w:rsidRDefault="003D34B4" w:rsidP="00B24B00">
      <w:pPr>
        <w:pStyle w:val="IBSubheading2"/>
        <w:rPr>
          <w:noProof/>
        </w:rPr>
      </w:pPr>
    </w:p>
    <w:p w:rsidR="003D34B4" w:rsidRDefault="003D34B4" w:rsidP="00B24B00">
      <w:pPr>
        <w:pStyle w:val="IBSubheading2"/>
        <w:rPr>
          <w:noProof/>
        </w:rPr>
      </w:pPr>
    </w:p>
    <w:p w:rsidR="003D34B4" w:rsidRDefault="003D34B4" w:rsidP="00B24B00">
      <w:pPr>
        <w:pStyle w:val="IBSubheading2"/>
        <w:rPr>
          <w:noProof/>
        </w:rPr>
      </w:pPr>
    </w:p>
    <w:p w:rsidR="003D34B4" w:rsidRDefault="003D34B4" w:rsidP="00B24B00">
      <w:pPr>
        <w:pStyle w:val="IBSubheading2"/>
        <w:rPr>
          <w:noProof/>
        </w:rPr>
      </w:pPr>
    </w:p>
    <w:p w:rsidR="00E23062" w:rsidRDefault="00E23062" w:rsidP="00E23062">
      <w:pPr>
        <w:pStyle w:val="IBBodyCopy"/>
      </w:pPr>
    </w:p>
    <w:sectPr w:rsidR="00E23062" w:rsidSect="004472A9">
      <w:headerReference w:type="even" r:id="rId11"/>
      <w:headerReference w:type="default" r:id="rId12"/>
      <w:footerReference w:type="even" r:id="rId13"/>
      <w:footerReference w:type="default" r:id="rId14"/>
      <w:headerReference w:type="first" r:id="rId15"/>
      <w:footerReference w:type="first" r:id="rId16"/>
      <w:pgSz w:w="12240" w:h="15840"/>
      <w:pgMar w:top="2347"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1C99" w:rsidRDefault="001C1C99" w:rsidP="007D73CB">
      <w:r>
        <w:separator/>
      </w:r>
    </w:p>
  </w:endnote>
  <w:endnote w:type="continuationSeparator" w:id="0">
    <w:p w:rsidR="001C1C99" w:rsidRDefault="001C1C99" w:rsidP="007D7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venir">
    <w:altName w:val="Times New Roman"/>
    <w:charset w:val="00"/>
    <w:family w:val="auto"/>
    <w:pitch w:val="variable"/>
    <w:sig w:usb0="00000001" w:usb1="5000204A" w:usb2="00000000" w:usb3="00000000" w:csb0="0000009B" w:csb1="00000000"/>
  </w:font>
  <w:font w:name="Avenir Book">
    <w:charset w:val="00"/>
    <w:family w:val="auto"/>
    <w:pitch w:val="variable"/>
    <w:sig w:usb0="00000001" w:usb1="5000204A" w:usb2="00000000" w:usb3="00000000" w:csb0="0000009B" w:csb1="00000000"/>
  </w:font>
  <w:font w:name="Calibri">
    <w:panose1 w:val="020F0502020204030204"/>
    <w:charset w:val="00"/>
    <w:family w:val="swiss"/>
    <w:pitch w:val="variable"/>
    <w:sig w:usb0="E00002FF" w:usb1="4000ACFF" w:usb2="00000001" w:usb3="00000000" w:csb0="0000019F" w:csb1="00000000"/>
  </w:font>
  <w:font w:name="Euphemia UCAS">
    <w:altName w:val="Arial"/>
    <w:charset w:val="00"/>
    <w:family w:val="auto"/>
    <w:pitch w:val="variable"/>
    <w:sig w:usb0="00000000" w:usb1="00000000" w:usb2="00002000" w:usb3="00000000" w:csb0="000001F3" w:csb1="00000000"/>
  </w:font>
  <w:font w:name="Cambria">
    <w:panose1 w:val="02040503050406030204"/>
    <w:charset w:val="00"/>
    <w:family w:val="roman"/>
    <w:pitch w:val="variable"/>
    <w:sig w:usb0="E00002FF" w:usb1="400004FF" w:usb2="00000000" w:usb3="00000000" w:csb0="0000019F" w:csb1="00000000"/>
  </w:font>
  <w:font w:name="Plantagenet Cherokee">
    <w:panose1 w:val="02020602070100000000"/>
    <w:charset w:val="00"/>
    <w:family w:val="roman"/>
    <w:pitch w:val="variable"/>
    <w:sig w:usb0="00000003" w:usb1="00000000" w:usb2="00001000" w:usb3="00000000" w:csb0="00000001" w:csb1="00000000"/>
  </w:font>
  <w:font w:name="Segoe UI">
    <w:panose1 w:val="020B0502040204020203"/>
    <w:charset w:val="00"/>
    <w:family w:val="swiss"/>
    <w:pitch w:val="variable"/>
    <w:sig w:usb0="E10022FF" w:usb1="C000E47F" w:usb2="00000029" w:usb3="00000000" w:csb0="000001DF" w:csb1="00000000"/>
  </w:font>
  <w:font w:name="Franklin Gothic Book">
    <w:panose1 w:val="020B05030201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3CB" w:rsidRDefault="007D73CB" w:rsidP="00CD71E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D73CB" w:rsidRDefault="007D73CB" w:rsidP="007D73C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3CB" w:rsidRPr="001765F9" w:rsidRDefault="007D73CB" w:rsidP="001765F9">
    <w:pPr>
      <w:pStyle w:val="Footer"/>
      <w:framePr w:wrap="none" w:vAnchor="text" w:hAnchor="page" w:x="11399" w:y="399"/>
      <w:rPr>
        <w:rStyle w:val="PageNumber"/>
        <w:rFonts w:ascii="Constantia" w:hAnsi="Constantia"/>
        <w:sz w:val="20"/>
        <w:szCs w:val="20"/>
      </w:rPr>
    </w:pPr>
    <w:r w:rsidRPr="001765F9">
      <w:rPr>
        <w:rStyle w:val="PageNumber"/>
        <w:rFonts w:ascii="Constantia" w:hAnsi="Constantia"/>
        <w:sz w:val="20"/>
        <w:szCs w:val="20"/>
      </w:rPr>
      <w:fldChar w:fldCharType="begin"/>
    </w:r>
    <w:r w:rsidRPr="001765F9">
      <w:rPr>
        <w:rStyle w:val="PageNumber"/>
        <w:rFonts w:ascii="Constantia" w:hAnsi="Constantia"/>
        <w:sz w:val="20"/>
        <w:szCs w:val="20"/>
      </w:rPr>
      <w:instrText xml:space="preserve">PAGE  </w:instrText>
    </w:r>
    <w:r w:rsidRPr="001765F9">
      <w:rPr>
        <w:rStyle w:val="PageNumber"/>
        <w:rFonts w:ascii="Constantia" w:hAnsi="Constantia"/>
        <w:sz w:val="20"/>
        <w:szCs w:val="20"/>
      </w:rPr>
      <w:fldChar w:fldCharType="separate"/>
    </w:r>
    <w:r w:rsidR="009A33BB">
      <w:rPr>
        <w:rStyle w:val="PageNumber"/>
        <w:rFonts w:ascii="Constantia" w:hAnsi="Constantia"/>
        <w:noProof/>
        <w:sz w:val="20"/>
        <w:szCs w:val="20"/>
      </w:rPr>
      <w:t>7</w:t>
    </w:r>
    <w:r w:rsidRPr="001765F9">
      <w:rPr>
        <w:rStyle w:val="PageNumber"/>
        <w:rFonts w:ascii="Constantia" w:hAnsi="Constantia"/>
        <w:sz w:val="20"/>
        <w:szCs w:val="20"/>
      </w:rPr>
      <w:fldChar w:fldCharType="end"/>
    </w:r>
  </w:p>
  <w:p w:rsidR="007D73CB" w:rsidRDefault="007D73CB" w:rsidP="007D73C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3CB" w:rsidRDefault="007D73CB" w:rsidP="007D73CB">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1C99" w:rsidRDefault="001C1C99" w:rsidP="007D73CB">
      <w:r>
        <w:separator/>
      </w:r>
    </w:p>
  </w:footnote>
  <w:footnote w:type="continuationSeparator" w:id="0">
    <w:p w:rsidR="001C1C99" w:rsidRDefault="001C1C99" w:rsidP="007D73CB">
      <w:r>
        <w:continuationSeparator/>
      </w:r>
    </w:p>
  </w:footnote>
  <w:footnote w:id="1">
    <w:p w:rsidR="00B02A27" w:rsidRDefault="00B02A27">
      <w:pPr>
        <w:pStyle w:val="FootnoteText"/>
        <w:rPr>
          <w:rFonts w:ascii="Calibri" w:hAnsi="Calibri" w:cs="Arial"/>
          <w:bCs/>
          <w:color w:val="333333"/>
          <w:sz w:val="20"/>
          <w:szCs w:val="21"/>
        </w:rPr>
      </w:pPr>
      <w:r>
        <w:rPr>
          <w:rStyle w:val="FootnoteReference"/>
        </w:rPr>
        <w:footnoteRef/>
      </w:r>
      <w:r>
        <w:t xml:space="preserve"> </w:t>
      </w:r>
      <w:r w:rsidRPr="00B02A27">
        <w:rPr>
          <w:rFonts w:ascii="Calibri" w:hAnsi="Calibri" w:cs="Arial"/>
          <w:bCs/>
          <w:color w:val="333333"/>
          <w:sz w:val="20"/>
          <w:szCs w:val="21"/>
        </w:rPr>
        <w:t xml:space="preserve">Ma, J., Baum, S., Pender, M., &amp; Welch, M. (2016). Trends in College Pricing 2016. Retrieved July 5, 2017, from </w:t>
      </w:r>
      <w:hyperlink r:id="rId1" w:history="1">
        <w:r w:rsidRPr="00B9594D">
          <w:rPr>
            <w:rStyle w:val="Hyperlink"/>
            <w:rFonts w:ascii="Calibri" w:hAnsi="Calibri" w:cs="Arial"/>
            <w:bCs/>
            <w:sz w:val="20"/>
            <w:szCs w:val="21"/>
          </w:rPr>
          <w:t>https://trends.collegeboard.org/sites/default/files/2016-trends-college-pricing-web_1.pdf</w:t>
        </w:r>
      </w:hyperlink>
    </w:p>
    <w:p w:rsidR="00B02A27" w:rsidRDefault="00B02A27">
      <w:pPr>
        <w:pStyle w:val="FootnoteText"/>
      </w:pPr>
    </w:p>
  </w:footnote>
  <w:footnote w:id="2">
    <w:p w:rsidR="00D22FD4" w:rsidRDefault="00D22FD4" w:rsidP="00D22FD4">
      <w:pPr>
        <w:pStyle w:val="FootnoteText"/>
        <w:rPr>
          <w:rFonts w:ascii="Calibri" w:hAnsi="Calibri" w:cs="Arial"/>
          <w:bCs/>
          <w:color w:val="333333"/>
          <w:sz w:val="20"/>
          <w:szCs w:val="21"/>
        </w:rPr>
      </w:pPr>
      <w:r>
        <w:rPr>
          <w:rStyle w:val="FootnoteReference"/>
        </w:rPr>
        <w:footnoteRef/>
      </w:r>
      <w:r>
        <w:t xml:space="preserve"> </w:t>
      </w:r>
      <w:r w:rsidRPr="00D22FD4">
        <w:rPr>
          <w:rFonts w:ascii="Calibri" w:hAnsi="Calibri" w:cs="Arial"/>
          <w:bCs/>
          <w:color w:val="333333"/>
          <w:sz w:val="20"/>
          <w:szCs w:val="21"/>
        </w:rPr>
        <w:t xml:space="preserve">Cochrane, D., &amp; Cheng, D. (2016, October). Student Debt and the Class of 2015. Retrieved July 5, 2017, from </w:t>
      </w:r>
      <w:hyperlink r:id="rId2" w:history="1">
        <w:r w:rsidRPr="00B9594D">
          <w:rPr>
            <w:rStyle w:val="Hyperlink"/>
            <w:rFonts w:ascii="Calibri" w:hAnsi="Calibri" w:cs="Arial"/>
            <w:bCs/>
            <w:sz w:val="20"/>
            <w:szCs w:val="21"/>
          </w:rPr>
          <w:t>http://ticas.org/sites/default/files/pub_files/classof2015.pdf</w:t>
        </w:r>
      </w:hyperlink>
    </w:p>
    <w:p w:rsidR="00D22FD4" w:rsidRPr="00D22FD4" w:rsidRDefault="00D22FD4" w:rsidP="00D22FD4">
      <w:pPr>
        <w:pStyle w:val="FootnoteText"/>
        <w:rPr>
          <w:rFonts w:ascii="Calibri" w:hAnsi="Calibri" w:cs="Arial"/>
          <w:bCs/>
          <w:color w:val="333333"/>
          <w:sz w:val="20"/>
          <w:szCs w:val="21"/>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B7C" w:rsidRDefault="004B5B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5F9" w:rsidRPr="001765F9" w:rsidRDefault="005263EC" w:rsidP="005759BB">
    <w:pPr>
      <w:framePr w:w="4450" w:h="1080" w:hSpace="187" w:wrap="around" w:vAnchor="page" w:hAnchor="page" w:x="6925" w:y="1085" w:anchorLock="1"/>
      <w:jc w:val="right"/>
      <w:rPr>
        <w:rFonts w:asciiTheme="minorHAnsi" w:hAnsiTheme="minorHAnsi"/>
        <w:color w:val="FFFFFF" w:themeColor="background1"/>
        <w:sz w:val="20"/>
        <w:szCs w:val="20"/>
      </w:rPr>
    </w:pPr>
    <w:r>
      <w:rPr>
        <w:rFonts w:asciiTheme="minorHAnsi" w:hAnsiTheme="minorHAnsi"/>
        <w:color w:val="FFFFFF" w:themeColor="background1"/>
        <w:sz w:val="20"/>
        <w:szCs w:val="20"/>
      </w:rPr>
      <w:t>Tuition Waivers</w:t>
    </w:r>
  </w:p>
  <w:p w:rsidR="005759BB" w:rsidRPr="001765F9" w:rsidRDefault="005759BB" w:rsidP="005759BB">
    <w:pPr>
      <w:framePr w:w="4450" w:h="1080" w:hSpace="187" w:wrap="around" w:vAnchor="page" w:hAnchor="page" w:x="6925" w:y="1085" w:anchorLock="1"/>
      <w:jc w:val="right"/>
      <w:rPr>
        <w:rFonts w:asciiTheme="minorHAnsi" w:hAnsiTheme="minorHAnsi"/>
        <w:color w:val="FFFFFF" w:themeColor="background1"/>
        <w:sz w:val="20"/>
        <w:szCs w:val="20"/>
      </w:rPr>
    </w:pPr>
    <w:r w:rsidRPr="001765F9">
      <w:rPr>
        <w:rFonts w:asciiTheme="minorHAnsi" w:hAnsiTheme="minorHAnsi"/>
        <w:color w:val="FFFFFF" w:themeColor="background1"/>
        <w:sz w:val="20"/>
        <w:szCs w:val="20"/>
      </w:rPr>
      <w:t xml:space="preserve">No. </w:t>
    </w:r>
    <w:r w:rsidR="00BB6CC0">
      <w:rPr>
        <w:rFonts w:asciiTheme="minorHAnsi" w:hAnsiTheme="minorHAnsi"/>
        <w:color w:val="FFFFFF" w:themeColor="background1"/>
        <w:sz w:val="20"/>
        <w:szCs w:val="20"/>
      </w:rPr>
      <w:t>2017-</w:t>
    </w:r>
    <w:r w:rsidR="004B5B7C">
      <w:rPr>
        <w:rFonts w:asciiTheme="minorHAnsi" w:hAnsiTheme="minorHAnsi"/>
        <w:color w:val="FFFFFF" w:themeColor="background1"/>
        <w:sz w:val="20"/>
        <w:szCs w:val="20"/>
      </w:rPr>
      <w:t>4</w:t>
    </w:r>
    <w:r w:rsidRPr="001765F9">
      <w:rPr>
        <w:rFonts w:asciiTheme="minorHAnsi" w:hAnsiTheme="minorHAnsi"/>
        <w:color w:val="FFFFFF" w:themeColor="background1"/>
        <w:sz w:val="20"/>
        <w:szCs w:val="20"/>
      </w:rPr>
      <w:t xml:space="preserve"> </w:t>
    </w:r>
    <w:r w:rsidR="00BB6CC0" w:rsidRPr="001765F9">
      <w:rPr>
        <w:rFonts w:asciiTheme="minorHAnsi" w:hAnsiTheme="minorHAnsi"/>
        <w:color w:val="FFFFFF" w:themeColor="background1"/>
        <w:sz w:val="20"/>
        <w:szCs w:val="20"/>
      </w:rPr>
      <w:t>| July</w:t>
    </w:r>
    <w:r w:rsidRPr="001765F9">
      <w:rPr>
        <w:rFonts w:asciiTheme="minorHAnsi" w:hAnsiTheme="minorHAnsi"/>
        <w:color w:val="FFFFFF" w:themeColor="background1"/>
        <w:sz w:val="20"/>
        <w:szCs w:val="20"/>
      </w:rPr>
      <w:t xml:space="preserve"> 2017</w:t>
    </w:r>
  </w:p>
  <w:p w:rsidR="005759BB" w:rsidRDefault="005759BB">
    <w:pPr>
      <w:pStyle w:val="Header"/>
    </w:pPr>
    <w:r>
      <w:rPr>
        <w:noProof/>
      </w:rPr>
      <w:drawing>
        <wp:anchor distT="0" distB="0" distL="114300" distR="114300" simplePos="0" relativeHeight="251659264" behindDoc="1" locked="0" layoutInCell="1" allowOverlap="1" wp14:anchorId="68626A07" wp14:editId="228A71AD">
          <wp:simplePos x="0" y="0"/>
          <wp:positionH relativeFrom="column">
            <wp:posOffset>-902825</wp:posOffset>
          </wp:positionH>
          <wp:positionV relativeFrom="page">
            <wp:posOffset>11575</wp:posOffset>
          </wp:positionV>
          <wp:extent cx="7772400" cy="10058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sue Brief Templates final.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9BB" w:rsidRDefault="003E7798">
    <w:pPr>
      <w:pStyle w:val="Header"/>
    </w:pPr>
    <w:r>
      <w:rPr>
        <w:noProof/>
      </w:rPr>
      <w:drawing>
        <wp:anchor distT="0" distB="0" distL="114300" distR="114300" simplePos="0" relativeHeight="251660288" behindDoc="1" locked="0" layoutInCell="1" allowOverlap="1" wp14:anchorId="3437B93D" wp14:editId="58CA2643">
          <wp:simplePos x="0" y="0"/>
          <wp:positionH relativeFrom="column">
            <wp:posOffset>-902825</wp:posOffset>
          </wp:positionH>
          <wp:positionV relativeFrom="paragraph">
            <wp:posOffset>-457200</wp:posOffset>
          </wp:positionV>
          <wp:extent cx="7772400" cy="100584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ssue Brief Templates final - front page.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1C05B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83D0102"/>
    <w:multiLevelType w:val="hybridMultilevel"/>
    <w:tmpl w:val="B614A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CE6CEF"/>
    <w:multiLevelType w:val="hybridMultilevel"/>
    <w:tmpl w:val="B8B0CB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58755C4"/>
    <w:multiLevelType w:val="hybridMultilevel"/>
    <w:tmpl w:val="1F3204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1AE1DFE"/>
    <w:multiLevelType w:val="hybridMultilevel"/>
    <w:tmpl w:val="2174DEA4"/>
    <w:lvl w:ilvl="0" w:tplc="B7BE94D0">
      <w:start w:val="1"/>
      <w:numFmt w:val="decimal"/>
      <w:lvlText w:val="%1."/>
      <w:lvlJc w:val="left"/>
      <w:pPr>
        <w:tabs>
          <w:tab w:val="num" w:pos="720"/>
        </w:tabs>
        <w:ind w:left="720" w:hanging="360"/>
      </w:pPr>
    </w:lvl>
    <w:lvl w:ilvl="1" w:tplc="695A0984" w:tentative="1">
      <w:start w:val="1"/>
      <w:numFmt w:val="decimal"/>
      <w:lvlText w:val="%2."/>
      <w:lvlJc w:val="left"/>
      <w:pPr>
        <w:tabs>
          <w:tab w:val="num" w:pos="1440"/>
        </w:tabs>
        <w:ind w:left="1440" w:hanging="360"/>
      </w:pPr>
    </w:lvl>
    <w:lvl w:ilvl="2" w:tplc="83F27DDC" w:tentative="1">
      <w:start w:val="1"/>
      <w:numFmt w:val="decimal"/>
      <w:lvlText w:val="%3."/>
      <w:lvlJc w:val="left"/>
      <w:pPr>
        <w:tabs>
          <w:tab w:val="num" w:pos="2160"/>
        </w:tabs>
        <w:ind w:left="2160" w:hanging="360"/>
      </w:pPr>
    </w:lvl>
    <w:lvl w:ilvl="3" w:tplc="F0F20BB2" w:tentative="1">
      <w:start w:val="1"/>
      <w:numFmt w:val="decimal"/>
      <w:lvlText w:val="%4."/>
      <w:lvlJc w:val="left"/>
      <w:pPr>
        <w:tabs>
          <w:tab w:val="num" w:pos="2880"/>
        </w:tabs>
        <w:ind w:left="2880" w:hanging="360"/>
      </w:pPr>
    </w:lvl>
    <w:lvl w:ilvl="4" w:tplc="E83CE350" w:tentative="1">
      <w:start w:val="1"/>
      <w:numFmt w:val="decimal"/>
      <w:lvlText w:val="%5."/>
      <w:lvlJc w:val="left"/>
      <w:pPr>
        <w:tabs>
          <w:tab w:val="num" w:pos="3600"/>
        </w:tabs>
        <w:ind w:left="3600" w:hanging="360"/>
      </w:pPr>
    </w:lvl>
    <w:lvl w:ilvl="5" w:tplc="29B0BDC0" w:tentative="1">
      <w:start w:val="1"/>
      <w:numFmt w:val="decimal"/>
      <w:lvlText w:val="%6."/>
      <w:lvlJc w:val="left"/>
      <w:pPr>
        <w:tabs>
          <w:tab w:val="num" w:pos="4320"/>
        </w:tabs>
        <w:ind w:left="4320" w:hanging="360"/>
      </w:pPr>
    </w:lvl>
    <w:lvl w:ilvl="6" w:tplc="2690DF0E" w:tentative="1">
      <w:start w:val="1"/>
      <w:numFmt w:val="decimal"/>
      <w:lvlText w:val="%7."/>
      <w:lvlJc w:val="left"/>
      <w:pPr>
        <w:tabs>
          <w:tab w:val="num" w:pos="5040"/>
        </w:tabs>
        <w:ind w:left="5040" w:hanging="360"/>
      </w:pPr>
    </w:lvl>
    <w:lvl w:ilvl="7" w:tplc="C14E4984" w:tentative="1">
      <w:start w:val="1"/>
      <w:numFmt w:val="decimal"/>
      <w:lvlText w:val="%8."/>
      <w:lvlJc w:val="left"/>
      <w:pPr>
        <w:tabs>
          <w:tab w:val="num" w:pos="5760"/>
        </w:tabs>
        <w:ind w:left="5760" w:hanging="360"/>
      </w:pPr>
    </w:lvl>
    <w:lvl w:ilvl="8" w:tplc="D5E68730" w:tentative="1">
      <w:start w:val="1"/>
      <w:numFmt w:val="decimal"/>
      <w:lvlText w:val="%9."/>
      <w:lvlJc w:val="left"/>
      <w:pPr>
        <w:tabs>
          <w:tab w:val="num" w:pos="6480"/>
        </w:tabs>
        <w:ind w:left="6480" w:hanging="360"/>
      </w:pPr>
    </w:lvl>
  </w:abstractNum>
  <w:abstractNum w:abstractNumId="5" w15:restartNumberingAfterBreak="0">
    <w:nsid w:val="31E426DA"/>
    <w:multiLevelType w:val="hybridMultilevel"/>
    <w:tmpl w:val="19C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F82636"/>
    <w:multiLevelType w:val="hybridMultilevel"/>
    <w:tmpl w:val="2B84C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7E7EA4"/>
    <w:multiLevelType w:val="hybridMultilevel"/>
    <w:tmpl w:val="7F14A4EE"/>
    <w:lvl w:ilvl="0" w:tplc="E5FCB548">
      <w:start w:val="1"/>
      <w:numFmt w:val="bullet"/>
      <w:lvlText w:val="•"/>
      <w:lvlJc w:val="left"/>
      <w:pPr>
        <w:tabs>
          <w:tab w:val="num" w:pos="720"/>
        </w:tabs>
        <w:ind w:left="720" w:hanging="360"/>
      </w:pPr>
      <w:rPr>
        <w:rFonts w:ascii="Arial" w:hAnsi="Arial" w:hint="default"/>
      </w:rPr>
    </w:lvl>
    <w:lvl w:ilvl="1" w:tplc="3D7ABD0A">
      <w:start w:val="98"/>
      <w:numFmt w:val="bullet"/>
      <w:lvlText w:val="•"/>
      <w:lvlJc w:val="left"/>
      <w:pPr>
        <w:tabs>
          <w:tab w:val="num" w:pos="1440"/>
        </w:tabs>
        <w:ind w:left="1440" w:hanging="360"/>
      </w:pPr>
      <w:rPr>
        <w:rFonts w:ascii="Arial" w:hAnsi="Arial" w:hint="default"/>
      </w:rPr>
    </w:lvl>
    <w:lvl w:ilvl="2" w:tplc="D5B64EF0" w:tentative="1">
      <w:start w:val="1"/>
      <w:numFmt w:val="bullet"/>
      <w:lvlText w:val="•"/>
      <w:lvlJc w:val="left"/>
      <w:pPr>
        <w:tabs>
          <w:tab w:val="num" w:pos="2160"/>
        </w:tabs>
        <w:ind w:left="2160" w:hanging="360"/>
      </w:pPr>
      <w:rPr>
        <w:rFonts w:ascii="Arial" w:hAnsi="Arial" w:hint="default"/>
      </w:rPr>
    </w:lvl>
    <w:lvl w:ilvl="3" w:tplc="9FD2E520" w:tentative="1">
      <w:start w:val="1"/>
      <w:numFmt w:val="bullet"/>
      <w:lvlText w:val="•"/>
      <w:lvlJc w:val="left"/>
      <w:pPr>
        <w:tabs>
          <w:tab w:val="num" w:pos="2880"/>
        </w:tabs>
        <w:ind w:left="2880" w:hanging="360"/>
      </w:pPr>
      <w:rPr>
        <w:rFonts w:ascii="Arial" w:hAnsi="Arial" w:hint="default"/>
      </w:rPr>
    </w:lvl>
    <w:lvl w:ilvl="4" w:tplc="B32C449C" w:tentative="1">
      <w:start w:val="1"/>
      <w:numFmt w:val="bullet"/>
      <w:lvlText w:val="•"/>
      <w:lvlJc w:val="left"/>
      <w:pPr>
        <w:tabs>
          <w:tab w:val="num" w:pos="3600"/>
        </w:tabs>
        <w:ind w:left="3600" w:hanging="360"/>
      </w:pPr>
      <w:rPr>
        <w:rFonts w:ascii="Arial" w:hAnsi="Arial" w:hint="default"/>
      </w:rPr>
    </w:lvl>
    <w:lvl w:ilvl="5" w:tplc="857C65B6" w:tentative="1">
      <w:start w:val="1"/>
      <w:numFmt w:val="bullet"/>
      <w:lvlText w:val="•"/>
      <w:lvlJc w:val="left"/>
      <w:pPr>
        <w:tabs>
          <w:tab w:val="num" w:pos="4320"/>
        </w:tabs>
        <w:ind w:left="4320" w:hanging="360"/>
      </w:pPr>
      <w:rPr>
        <w:rFonts w:ascii="Arial" w:hAnsi="Arial" w:hint="default"/>
      </w:rPr>
    </w:lvl>
    <w:lvl w:ilvl="6" w:tplc="7842FB2C" w:tentative="1">
      <w:start w:val="1"/>
      <w:numFmt w:val="bullet"/>
      <w:lvlText w:val="•"/>
      <w:lvlJc w:val="left"/>
      <w:pPr>
        <w:tabs>
          <w:tab w:val="num" w:pos="5040"/>
        </w:tabs>
        <w:ind w:left="5040" w:hanging="360"/>
      </w:pPr>
      <w:rPr>
        <w:rFonts w:ascii="Arial" w:hAnsi="Arial" w:hint="default"/>
      </w:rPr>
    </w:lvl>
    <w:lvl w:ilvl="7" w:tplc="6924E80E" w:tentative="1">
      <w:start w:val="1"/>
      <w:numFmt w:val="bullet"/>
      <w:lvlText w:val="•"/>
      <w:lvlJc w:val="left"/>
      <w:pPr>
        <w:tabs>
          <w:tab w:val="num" w:pos="5760"/>
        </w:tabs>
        <w:ind w:left="5760" w:hanging="360"/>
      </w:pPr>
      <w:rPr>
        <w:rFonts w:ascii="Arial" w:hAnsi="Arial" w:hint="default"/>
      </w:rPr>
    </w:lvl>
    <w:lvl w:ilvl="8" w:tplc="2514C82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9DC41A6"/>
    <w:multiLevelType w:val="hybridMultilevel"/>
    <w:tmpl w:val="58A05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EC2FB6"/>
    <w:multiLevelType w:val="hybridMultilevel"/>
    <w:tmpl w:val="171A9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F000CC"/>
    <w:multiLevelType w:val="hybridMultilevel"/>
    <w:tmpl w:val="92566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006713"/>
    <w:multiLevelType w:val="hybridMultilevel"/>
    <w:tmpl w:val="239678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35595D"/>
    <w:multiLevelType w:val="hybridMultilevel"/>
    <w:tmpl w:val="2AE88F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5D4F66E6"/>
    <w:multiLevelType w:val="hybridMultilevel"/>
    <w:tmpl w:val="2174DEA4"/>
    <w:lvl w:ilvl="0" w:tplc="B7BE94D0">
      <w:start w:val="1"/>
      <w:numFmt w:val="decimal"/>
      <w:lvlText w:val="%1."/>
      <w:lvlJc w:val="left"/>
      <w:pPr>
        <w:tabs>
          <w:tab w:val="num" w:pos="720"/>
        </w:tabs>
        <w:ind w:left="720" w:hanging="360"/>
      </w:pPr>
    </w:lvl>
    <w:lvl w:ilvl="1" w:tplc="695A0984" w:tentative="1">
      <w:start w:val="1"/>
      <w:numFmt w:val="decimal"/>
      <w:lvlText w:val="%2."/>
      <w:lvlJc w:val="left"/>
      <w:pPr>
        <w:tabs>
          <w:tab w:val="num" w:pos="1440"/>
        </w:tabs>
        <w:ind w:left="1440" w:hanging="360"/>
      </w:pPr>
    </w:lvl>
    <w:lvl w:ilvl="2" w:tplc="83F27DDC" w:tentative="1">
      <w:start w:val="1"/>
      <w:numFmt w:val="decimal"/>
      <w:lvlText w:val="%3."/>
      <w:lvlJc w:val="left"/>
      <w:pPr>
        <w:tabs>
          <w:tab w:val="num" w:pos="2160"/>
        </w:tabs>
        <w:ind w:left="2160" w:hanging="360"/>
      </w:pPr>
    </w:lvl>
    <w:lvl w:ilvl="3" w:tplc="F0F20BB2" w:tentative="1">
      <w:start w:val="1"/>
      <w:numFmt w:val="decimal"/>
      <w:lvlText w:val="%4."/>
      <w:lvlJc w:val="left"/>
      <w:pPr>
        <w:tabs>
          <w:tab w:val="num" w:pos="2880"/>
        </w:tabs>
        <w:ind w:left="2880" w:hanging="360"/>
      </w:pPr>
    </w:lvl>
    <w:lvl w:ilvl="4" w:tplc="E83CE350" w:tentative="1">
      <w:start w:val="1"/>
      <w:numFmt w:val="decimal"/>
      <w:lvlText w:val="%5."/>
      <w:lvlJc w:val="left"/>
      <w:pPr>
        <w:tabs>
          <w:tab w:val="num" w:pos="3600"/>
        </w:tabs>
        <w:ind w:left="3600" w:hanging="360"/>
      </w:pPr>
    </w:lvl>
    <w:lvl w:ilvl="5" w:tplc="29B0BDC0" w:tentative="1">
      <w:start w:val="1"/>
      <w:numFmt w:val="decimal"/>
      <w:lvlText w:val="%6."/>
      <w:lvlJc w:val="left"/>
      <w:pPr>
        <w:tabs>
          <w:tab w:val="num" w:pos="4320"/>
        </w:tabs>
        <w:ind w:left="4320" w:hanging="360"/>
      </w:pPr>
    </w:lvl>
    <w:lvl w:ilvl="6" w:tplc="2690DF0E" w:tentative="1">
      <w:start w:val="1"/>
      <w:numFmt w:val="decimal"/>
      <w:lvlText w:val="%7."/>
      <w:lvlJc w:val="left"/>
      <w:pPr>
        <w:tabs>
          <w:tab w:val="num" w:pos="5040"/>
        </w:tabs>
        <w:ind w:left="5040" w:hanging="360"/>
      </w:pPr>
    </w:lvl>
    <w:lvl w:ilvl="7" w:tplc="C14E4984" w:tentative="1">
      <w:start w:val="1"/>
      <w:numFmt w:val="decimal"/>
      <w:lvlText w:val="%8."/>
      <w:lvlJc w:val="left"/>
      <w:pPr>
        <w:tabs>
          <w:tab w:val="num" w:pos="5760"/>
        </w:tabs>
        <w:ind w:left="5760" w:hanging="360"/>
      </w:pPr>
    </w:lvl>
    <w:lvl w:ilvl="8" w:tplc="D5E68730" w:tentative="1">
      <w:start w:val="1"/>
      <w:numFmt w:val="decimal"/>
      <w:lvlText w:val="%9."/>
      <w:lvlJc w:val="left"/>
      <w:pPr>
        <w:tabs>
          <w:tab w:val="num" w:pos="6480"/>
        </w:tabs>
        <w:ind w:left="6480" w:hanging="360"/>
      </w:pPr>
    </w:lvl>
  </w:abstractNum>
  <w:abstractNum w:abstractNumId="14" w15:restartNumberingAfterBreak="0">
    <w:nsid w:val="7CCF5506"/>
    <w:multiLevelType w:val="hybridMultilevel"/>
    <w:tmpl w:val="2174DEA4"/>
    <w:lvl w:ilvl="0" w:tplc="B7BE94D0">
      <w:start w:val="1"/>
      <w:numFmt w:val="decimal"/>
      <w:lvlText w:val="%1."/>
      <w:lvlJc w:val="left"/>
      <w:pPr>
        <w:tabs>
          <w:tab w:val="num" w:pos="720"/>
        </w:tabs>
        <w:ind w:left="720" w:hanging="360"/>
      </w:pPr>
    </w:lvl>
    <w:lvl w:ilvl="1" w:tplc="695A0984" w:tentative="1">
      <w:start w:val="1"/>
      <w:numFmt w:val="decimal"/>
      <w:lvlText w:val="%2."/>
      <w:lvlJc w:val="left"/>
      <w:pPr>
        <w:tabs>
          <w:tab w:val="num" w:pos="1440"/>
        </w:tabs>
        <w:ind w:left="1440" w:hanging="360"/>
      </w:pPr>
    </w:lvl>
    <w:lvl w:ilvl="2" w:tplc="83F27DDC" w:tentative="1">
      <w:start w:val="1"/>
      <w:numFmt w:val="decimal"/>
      <w:lvlText w:val="%3."/>
      <w:lvlJc w:val="left"/>
      <w:pPr>
        <w:tabs>
          <w:tab w:val="num" w:pos="2160"/>
        </w:tabs>
        <w:ind w:left="2160" w:hanging="360"/>
      </w:pPr>
    </w:lvl>
    <w:lvl w:ilvl="3" w:tplc="F0F20BB2" w:tentative="1">
      <w:start w:val="1"/>
      <w:numFmt w:val="decimal"/>
      <w:lvlText w:val="%4."/>
      <w:lvlJc w:val="left"/>
      <w:pPr>
        <w:tabs>
          <w:tab w:val="num" w:pos="2880"/>
        </w:tabs>
        <w:ind w:left="2880" w:hanging="360"/>
      </w:pPr>
    </w:lvl>
    <w:lvl w:ilvl="4" w:tplc="E83CE350" w:tentative="1">
      <w:start w:val="1"/>
      <w:numFmt w:val="decimal"/>
      <w:lvlText w:val="%5."/>
      <w:lvlJc w:val="left"/>
      <w:pPr>
        <w:tabs>
          <w:tab w:val="num" w:pos="3600"/>
        </w:tabs>
        <w:ind w:left="3600" w:hanging="360"/>
      </w:pPr>
    </w:lvl>
    <w:lvl w:ilvl="5" w:tplc="29B0BDC0" w:tentative="1">
      <w:start w:val="1"/>
      <w:numFmt w:val="decimal"/>
      <w:lvlText w:val="%6."/>
      <w:lvlJc w:val="left"/>
      <w:pPr>
        <w:tabs>
          <w:tab w:val="num" w:pos="4320"/>
        </w:tabs>
        <w:ind w:left="4320" w:hanging="360"/>
      </w:pPr>
    </w:lvl>
    <w:lvl w:ilvl="6" w:tplc="2690DF0E" w:tentative="1">
      <w:start w:val="1"/>
      <w:numFmt w:val="decimal"/>
      <w:lvlText w:val="%7."/>
      <w:lvlJc w:val="left"/>
      <w:pPr>
        <w:tabs>
          <w:tab w:val="num" w:pos="5040"/>
        </w:tabs>
        <w:ind w:left="5040" w:hanging="360"/>
      </w:pPr>
    </w:lvl>
    <w:lvl w:ilvl="7" w:tplc="C14E4984" w:tentative="1">
      <w:start w:val="1"/>
      <w:numFmt w:val="decimal"/>
      <w:lvlText w:val="%8."/>
      <w:lvlJc w:val="left"/>
      <w:pPr>
        <w:tabs>
          <w:tab w:val="num" w:pos="5760"/>
        </w:tabs>
        <w:ind w:left="5760" w:hanging="360"/>
      </w:pPr>
    </w:lvl>
    <w:lvl w:ilvl="8" w:tplc="D5E68730" w:tentative="1">
      <w:start w:val="1"/>
      <w:numFmt w:val="decimal"/>
      <w:lvlText w:val="%9."/>
      <w:lvlJc w:val="left"/>
      <w:pPr>
        <w:tabs>
          <w:tab w:val="num" w:pos="6480"/>
        </w:tabs>
        <w:ind w:left="6480" w:hanging="360"/>
      </w:pPr>
    </w:lvl>
  </w:abstractNum>
  <w:num w:numId="1">
    <w:abstractNumId w:val="3"/>
  </w:num>
  <w:num w:numId="2">
    <w:abstractNumId w:val="6"/>
  </w:num>
  <w:num w:numId="3">
    <w:abstractNumId w:val="0"/>
  </w:num>
  <w:num w:numId="4">
    <w:abstractNumId w:val="9"/>
  </w:num>
  <w:num w:numId="5">
    <w:abstractNumId w:val="11"/>
  </w:num>
  <w:num w:numId="6">
    <w:abstractNumId w:val="10"/>
  </w:num>
  <w:num w:numId="7">
    <w:abstractNumId w:val="1"/>
  </w:num>
  <w:num w:numId="8">
    <w:abstractNumId w:val="8"/>
  </w:num>
  <w:num w:numId="9">
    <w:abstractNumId w:val="2"/>
  </w:num>
  <w:num w:numId="10">
    <w:abstractNumId w:val="14"/>
  </w:num>
  <w:num w:numId="11">
    <w:abstractNumId w:val="5"/>
  </w:num>
  <w:num w:numId="12">
    <w:abstractNumId w:val="12"/>
  </w:num>
  <w:num w:numId="13">
    <w:abstractNumId w:val="7"/>
  </w:num>
  <w:num w:numId="14">
    <w:abstractNumId w:val="1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A27"/>
    <w:rsid w:val="00021D84"/>
    <w:rsid w:val="00092169"/>
    <w:rsid w:val="000A215E"/>
    <w:rsid w:val="000A725F"/>
    <w:rsid w:val="000C1D01"/>
    <w:rsid w:val="000C7E78"/>
    <w:rsid w:val="000D52EA"/>
    <w:rsid w:val="000E66E8"/>
    <w:rsid w:val="000F0D97"/>
    <w:rsid w:val="000F3193"/>
    <w:rsid w:val="00103528"/>
    <w:rsid w:val="001102EF"/>
    <w:rsid w:val="00114542"/>
    <w:rsid w:val="00143D75"/>
    <w:rsid w:val="001765F9"/>
    <w:rsid w:val="00183976"/>
    <w:rsid w:val="00197BE2"/>
    <w:rsid w:val="001A3318"/>
    <w:rsid w:val="001B51F2"/>
    <w:rsid w:val="001B5DE3"/>
    <w:rsid w:val="001C1C99"/>
    <w:rsid w:val="001C45C3"/>
    <w:rsid w:val="00223466"/>
    <w:rsid w:val="00231007"/>
    <w:rsid w:val="002343C5"/>
    <w:rsid w:val="002634AC"/>
    <w:rsid w:val="002671D1"/>
    <w:rsid w:val="00284838"/>
    <w:rsid w:val="0029127F"/>
    <w:rsid w:val="002B3EF9"/>
    <w:rsid w:val="002B79F7"/>
    <w:rsid w:val="002C359C"/>
    <w:rsid w:val="002D54A7"/>
    <w:rsid w:val="002E1D8B"/>
    <w:rsid w:val="0031168F"/>
    <w:rsid w:val="00316F68"/>
    <w:rsid w:val="003173B7"/>
    <w:rsid w:val="00337E76"/>
    <w:rsid w:val="003458F4"/>
    <w:rsid w:val="00357F76"/>
    <w:rsid w:val="003B1DB4"/>
    <w:rsid w:val="003D34B4"/>
    <w:rsid w:val="003D6626"/>
    <w:rsid w:val="003E052D"/>
    <w:rsid w:val="003E095A"/>
    <w:rsid w:val="003E7798"/>
    <w:rsid w:val="003E7F50"/>
    <w:rsid w:val="003F7814"/>
    <w:rsid w:val="00405B33"/>
    <w:rsid w:val="0042011C"/>
    <w:rsid w:val="00437A49"/>
    <w:rsid w:val="00441A84"/>
    <w:rsid w:val="004472A9"/>
    <w:rsid w:val="0045194D"/>
    <w:rsid w:val="00456AD6"/>
    <w:rsid w:val="00493EEC"/>
    <w:rsid w:val="004A6227"/>
    <w:rsid w:val="004B5B7C"/>
    <w:rsid w:val="004E569A"/>
    <w:rsid w:val="005263EC"/>
    <w:rsid w:val="0053339A"/>
    <w:rsid w:val="00546EB5"/>
    <w:rsid w:val="00551D97"/>
    <w:rsid w:val="00556962"/>
    <w:rsid w:val="005759BB"/>
    <w:rsid w:val="00596B33"/>
    <w:rsid w:val="005A6C42"/>
    <w:rsid w:val="005C4BC6"/>
    <w:rsid w:val="005D6A12"/>
    <w:rsid w:val="005D6E62"/>
    <w:rsid w:val="005E5B2E"/>
    <w:rsid w:val="0060069E"/>
    <w:rsid w:val="0062204A"/>
    <w:rsid w:val="0067737F"/>
    <w:rsid w:val="00677E2B"/>
    <w:rsid w:val="0068608F"/>
    <w:rsid w:val="00693D73"/>
    <w:rsid w:val="006A7A40"/>
    <w:rsid w:val="006D56DA"/>
    <w:rsid w:val="006D7F12"/>
    <w:rsid w:val="006F6387"/>
    <w:rsid w:val="00720DA9"/>
    <w:rsid w:val="00727744"/>
    <w:rsid w:val="007320F0"/>
    <w:rsid w:val="00742C8E"/>
    <w:rsid w:val="00743CD8"/>
    <w:rsid w:val="00757BF7"/>
    <w:rsid w:val="007761A2"/>
    <w:rsid w:val="007A094A"/>
    <w:rsid w:val="007B5E12"/>
    <w:rsid w:val="007D73CB"/>
    <w:rsid w:val="007E07B2"/>
    <w:rsid w:val="007F128F"/>
    <w:rsid w:val="008316B6"/>
    <w:rsid w:val="008464EA"/>
    <w:rsid w:val="00846CA7"/>
    <w:rsid w:val="008471F6"/>
    <w:rsid w:val="00871505"/>
    <w:rsid w:val="00880E1F"/>
    <w:rsid w:val="008872AE"/>
    <w:rsid w:val="008A1E12"/>
    <w:rsid w:val="008A6303"/>
    <w:rsid w:val="008C7121"/>
    <w:rsid w:val="008F3250"/>
    <w:rsid w:val="0091074B"/>
    <w:rsid w:val="00926563"/>
    <w:rsid w:val="0093487B"/>
    <w:rsid w:val="00961649"/>
    <w:rsid w:val="00966718"/>
    <w:rsid w:val="00967E76"/>
    <w:rsid w:val="00992B0F"/>
    <w:rsid w:val="009A33BB"/>
    <w:rsid w:val="009A4D22"/>
    <w:rsid w:val="009A57BF"/>
    <w:rsid w:val="009B67AA"/>
    <w:rsid w:val="009D5829"/>
    <w:rsid w:val="009E2994"/>
    <w:rsid w:val="009F7FEE"/>
    <w:rsid w:val="00A02EA3"/>
    <w:rsid w:val="00A175CB"/>
    <w:rsid w:val="00A56B8F"/>
    <w:rsid w:val="00A56F05"/>
    <w:rsid w:val="00A73552"/>
    <w:rsid w:val="00A82033"/>
    <w:rsid w:val="00A85263"/>
    <w:rsid w:val="00A871E9"/>
    <w:rsid w:val="00A9122D"/>
    <w:rsid w:val="00AB1DC3"/>
    <w:rsid w:val="00AB421D"/>
    <w:rsid w:val="00AC2757"/>
    <w:rsid w:val="00AD4EAF"/>
    <w:rsid w:val="00AE6ABB"/>
    <w:rsid w:val="00AE7943"/>
    <w:rsid w:val="00AF7B34"/>
    <w:rsid w:val="00B02A27"/>
    <w:rsid w:val="00B24B00"/>
    <w:rsid w:val="00B2792E"/>
    <w:rsid w:val="00B31339"/>
    <w:rsid w:val="00B8273C"/>
    <w:rsid w:val="00B910EA"/>
    <w:rsid w:val="00BA1C00"/>
    <w:rsid w:val="00BA1C80"/>
    <w:rsid w:val="00BB122E"/>
    <w:rsid w:val="00BB5BDA"/>
    <w:rsid w:val="00BB6CC0"/>
    <w:rsid w:val="00BC1970"/>
    <w:rsid w:val="00BE096B"/>
    <w:rsid w:val="00BE6895"/>
    <w:rsid w:val="00BF51AE"/>
    <w:rsid w:val="00C10D0F"/>
    <w:rsid w:val="00C21DDA"/>
    <w:rsid w:val="00C70D8A"/>
    <w:rsid w:val="00C82969"/>
    <w:rsid w:val="00C84ACD"/>
    <w:rsid w:val="00C871F6"/>
    <w:rsid w:val="00C919D8"/>
    <w:rsid w:val="00CB2E4B"/>
    <w:rsid w:val="00CC73D3"/>
    <w:rsid w:val="00CD6CA8"/>
    <w:rsid w:val="00CF5A38"/>
    <w:rsid w:val="00D12079"/>
    <w:rsid w:val="00D164C6"/>
    <w:rsid w:val="00D22FD4"/>
    <w:rsid w:val="00D3485F"/>
    <w:rsid w:val="00D63DEA"/>
    <w:rsid w:val="00D97A81"/>
    <w:rsid w:val="00DB34BD"/>
    <w:rsid w:val="00DF16F4"/>
    <w:rsid w:val="00DF3810"/>
    <w:rsid w:val="00E05E2A"/>
    <w:rsid w:val="00E1761D"/>
    <w:rsid w:val="00E23062"/>
    <w:rsid w:val="00E456DD"/>
    <w:rsid w:val="00E758D9"/>
    <w:rsid w:val="00E770A2"/>
    <w:rsid w:val="00E919EC"/>
    <w:rsid w:val="00EA2FED"/>
    <w:rsid w:val="00EA3517"/>
    <w:rsid w:val="00EA449D"/>
    <w:rsid w:val="00EC0C50"/>
    <w:rsid w:val="00ED16A0"/>
    <w:rsid w:val="00EE12CB"/>
    <w:rsid w:val="00EE727B"/>
    <w:rsid w:val="00F07095"/>
    <w:rsid w:val="00F42BF9"/>
    <w:rsid w:val="00F4430E"/>
    <w:rsid w:val="00F609FA"/>
    <w:rsid w:val="00F63AFC"/>
    <w:rsid w:val="00F75BAF"/>
    <w:rsid w:val="00F77688"/>
    <w:rsid w:val="00F829C3"/>
    <w:rsid w:val="00F864B3"/>
    <w:rsid w:val="00F95D39"/>
    <w:rsid w:val="00FA1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7F338E"/>
  <w15:docId w15:val="{16A623E4-2C0B-469A-ADAB-EC0B9CADA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ajorEastAsia" w:hAnsiTheme="majorHAnsi" w:cstheme="maj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EB5"/>
  </w:style>
  <w:style w:type="paragraph" w:styleId="Heading1">
    <w:name w:val="heading 1"/>
    <w:basedOn w:val="Normal"/>
    <w:next w:val="Normal"/>
    <w:link w:val="Heading1Char"/>
    <w:uiPriority w:val="9"/>
    <w:rsid w:val="00546EB5"/>
    <w:pPr>
      <w:spacing w:before="480"/>
      <w:contextualSpacing/>
      <w:outlineLvl w:val="0"/>
    </w:pPr>
    <w:rPr>
      <w:smallCaps/>
      <w:spacing w:val="5"/>
      <w:sz w:val="36"/>
      <w:szCs w:val="36"/>
    </w:rPr>
  </w:style>
  <w:style w:type="paragraph" w:styleId="Heading2">
    <w:name w:val="heading 2"/>
    <w:basedOn w:val="Normal"/>
    <w:next w:val="Normal"/>
    <w:link w:val="Heading2Char"/>
    <w:uiPriority w:val="9"/>
    <w:semiHidden/>
    <w:unhideWhenUsed/>
    <w:rsid w:val="00546EB5"/>
    <w:pPr>
      <w:spacing w:before="20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546EB5"/>
    <w:pPr>
      <w:spacing w:before="20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546EB5"/>
    <w:pPr>
      <w:spacing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546EB5"/>
    <w:pPr>
      <w:spacing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546EB5"/>
    <w:pPr>
      <w:shd w:val="clear" w:color="auto" w:fill="FFFFFF" w:themeFill="background1"/>
      <w:spacing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546EB5"/>
    <w:pPr>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546EB5"/>
    <w:pPr>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546EB5"/>
    <w:pPr>
      <w:spacing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73CB"/>
    <w:pPr>
      <w:tabs>
        <w:tab w:val="center" w:pos="4680"/>
        <w:tab w:val="right" w:pos="9360"/>
      </w:tabs>
    </w:pPr>
  </w:style>
  <w:style w:type="character" w:customStyle="1" w:styleId="HeaderChar">
    <w:name w:val="Header Char"/>
    <w:basedOn w:val="DefaultParagraphFont"/>
    <w:link w:val="Header"/>
    <w:uiPriority w:val="99"/>
    <w:rsid w:val="007D73CB"/>
  </w:style>
  <w:style w:type="paragraph" w:styleId="Footer">
    <w:name w:val="footer"/>
    <w:basedOn w:val="Normal"/>
    <w:link w:val="FooterChar"/>
    <w:uiPriority w:val="99"/>
    <w:unhideWhenUsed/>
    <w:rsid w:val="007D73CB"/>
    <w:pPr>
      <w:tabs>
        <w:tab w:val="center" w:pos="4680"/>
        <w:tab w:val="right" w:pos="9360"/>
      </w:tabs>
    </w:pPr>
  </w:style>
  <w:style w:type="character" w:customStyle="1" w:styleId="FooterChar">
    <w:name w:val="Footer Char"/>
    <w:basedOn w:val="DefaultParagraphFont"/>
    <w:link w:val="Footer"/>
    <w:uiPriority w:val="99"/>
    <w:rsid w:val="007D73CB"/>
  </w:style>
  <w:style w:type="character" w:styleId="PageNumber">
    <w:name w:val="page number"/>
    <w:basedOn w:val="DefaultParagraphFont"/>
    <w:uiPriority w:val="99"/>
    <w:semiHidden/>
    <w:unhideWhenUsed/>
    <w:rsid w:val="007D73CB"/>
  </w:style>
  <w:style w:type="paragraph" w:customStyle="1" w:styleId="p1">
    <w:name w:val="p1"/>
    <w:basedOn w:val="Normal"/>
    <w:rsid w:val="007D73CB"/>
    <w:pPr>
      <w:jc w:val="right"/>
    </w:pPr>
    <w:rPr>
      <w:rFonts w:ascii="Avenir" w:hAnsi="Avenir" w:cs="Times New Roman"/>
      <w:sz w:val="21"/>
      <w:szCs w:val="21"/>
    </w:rPr>
  </w:style>
  <w:style w:type="paragraph" w:customStyle="1" w:styleId="p2">
    <w:name w:val="p2"/>
    <w:basedOn w:val="Normal"/>
    <w:rsid w:val="007D73CB"/>
    <w:pPr>
      <w:jc w:val="right"/>
    </w:pPr>
    <w:rPr>
      <w:rFonts w:ascii="Avenir" w:hAnsi="Avenir" w:cs="Times New Roman"/>
      <w:sz w:val="18"/>
      <w:szCs w:val="18"/>
    </w:rPr>
  </w:style>
  <w:style w:type="paragraph" w:customStyle="1" w:styleId="p3">
    <w:name w:val="p3"/>
    <w:basedOn w:val="Normal"/>
    <w:rsid w:val="007D73CB"/>
    <w:pPr>
      <w:jc w:val="right"/>
    </w:pPr>
    <w:rPr>
      <w:rFonts w:ascii="Avenir" w:hAnsi="Avenir" w:cs="Times New Roman"/>
      <w:sz w:val="15"/>
      <w:szCs w:val="15"/>
    </w:rPr>
  </w:style>
  <w:style w:type="paragraph" w:customStyle="1" w:styleId="p4">
    <w:name w:val="p4"/>
    <w:basedOn w:val="Normal"/>
    <w:rsid w:val="007D73CB"/>
    <w:rPr>
      <w:rFonts w:ascii="Avenir" w:hAnsi="Avenir" w:cs="Times New Roman"/>
      <w:sz w:val="32"/>
      <w:szCs w:val="32"/>
    </w:rPr>
  </w:style>
  <w:style w:type="paragraph" w:customStyle="1" w:styleId="p5">
    <w:name w:val="p5"/>
    <w:basedOn w:val="Normal"/>
    <w:rsid w:val="007D73CB"/>
    <w:rPr>
      <w:rFonts w:ascii="Avenir" w:hAnsi="Avenir" w:cs="Times New Roman"/>
    </w:rPr>
  </w:style>
  <w:style w:type="paragraph" w:customStyle="1" w:styleId="p6">
    <w:name w:val="p6"/>
    <w:basedOn w:val="Normal"/>
    <w:rsid w:val="007D73CB"/>
    <w:rPr>
      <w:rFonts w:ascii="Avenir" w:hAnsi="Avenir" w:cs="Times New Roman"/>
      <w:sz w:val="23"/>
      <w:szCs w:val="23"/>
    </w:rPr>
  </w:style>
  <w:style w:type="paragraph" w:customStyle="1" w:styleId="p7">
    <w:name w:val="p7"/>
    <w:basedOn w:val="Normal"/>
    <w:rsid w:val="007D73CB"/>
    <w:rPr>
      <w:rFonts w:ascii="Avenir" w:hAnsi="Avenir" w:cs="Times New Roman"/>
      <w:sz w:val="27"/>
      <w:szCs w:val="27"/>
    </w:rPr>
  </w:style>
  <w:style w:type="paragraph" w:customStyle="1" w:styleId="p8">
    <w:name w:val="p8"/>
    <w:basedOn w:val="Normal"/>
    <w:rsid w:val="007D73CB"/>
    <w:rPr>
      <w:rFonts w:ascii="Avenir" w:hAnsi="Avenir" w:cs="Times New Roman"/>
      <w:sz w:val="18"/>
      <w:szCs w:val="18"/>
    </w:rPr>
  </w:style>
  <w:style w:type="paragraph" w:customStyle="1" w:styleId="p9">
    <w:name w:val="p9"/>
    <w:basedOn w:val="Normal"/>
    <w:rsid w:val="007D73CB"/>
    <w:rPr>
      <w:rFonts w:ascii="Avenir" w:hAnsi="Avenir" w:cs="Times New Roman"/>
      <w:sz w:val="18"/>
      <w:szCs w:val="18"/>
    </w:rPr>
  </w:style>
  <w:style w:type="paragraph" w:customStyle="1" w:styleId="p10">
    <w:name w:val="p10"/>
    <w:basedOn w:val="Normal"/>
    <w:rsid w:val="007D73CB"/>
    <w:rPr>
      <w:rFonts w:ascii="Avenir" w:hAnsi="Avenir" w:cs="Times New Roman"/>
      <w:sz w:val="20"/>
      <w:szCs w:val="20"/>
    </w:rPr>
  </w:style>
  <w:style w:type="character" w:customStyle="1" w:styleId="apple-converted-space">
    <w:name w:val="apple-converted-space"/>
    <w:basedOn w:val="DefaultParagraphFont"/>
    <w:rsid w:val="007D73CB"/>
  </w:style>
  <w:style w:type="character" w:customStyle="1" w:styleId="Heading1Char">
    <w:name w:val="Heading 1 Char"/>
    <w:basedOn w:val="DefaultParagraphFont"/>
    <w:link w:val="Heading1"/>
    <w:uiPriority w:val="9"/>
    <w:rsid w:val="00546EB5"/>
    <w:rPr>
      <w:smallCaps/>
      <w:spacing w:val="5"/>
      <w:sz w:val="36"/>
      <w:szCs w:val="36"/>
    </w:rPr>
  </w:style>
  <w:style w:type="character" w:customStyle="1" w:styleId="Heading2Char">
    <w:name w:val="Heading 2 Char"/>
    <w:basedOn w:val="DefaultParagraphFont"/>
    <w:link w:val="Heading2"/>
    <w:uiPriority w:val="9"/>
    <w:semiHidden/>
    <w:rsid w:val="00546EB5"/>
    <w:rPr>
      <w:smallCaps/>
      <w:sz w:val="28"/>
      <w:szCs w:val="28"/>
    </w:rPr>
  </w:style>
  <w:style w:type="character" w:customStyle="1" w:styleId="Heading3Char">
    <w:name w:val="Heading 3 Char"/>
    <w:basedOn w:val="DefaultParagraphFont"/>
    <w:link w:val="Heading3"/>
    <w:uiPriority w:val="9"/>
    <w:semiHidden/>
    <w:rsid w:val="00546EB5"/>
    <w:rPr>
      <w:i/>
      <w:iCs/>
      <w:smallCaps/>
      <w:spacing w:val="5"/>
      <w:sz w:val="26"/>
      <w:szCs w:val="26"/>
    </w:rPr>
  </w:style>
  <w:style w:type="character" w:customStyle="1" w:styleId="Heading4Char">
    <w:name w:val="Heading 4 Char"/>
    <w:basedOn w:val="DefaultParagraphFont"/>
    <w:link w:val="Heading4"/>
    <w:uiPriority w:val="9"/>
    <w:semiHidden/>
    <w:rsid w:val="00546EB5"/>
    <w:rPr>
      <w:b/>
      <w:bCs/>
      <w:spacing w:val="5"/>
      <w:sz w:val="24"/>
      <w:szCs w:val="24"/>
    </w:rPr>
  </w:style>
  <w:style w:type="character" w:customStyle="1" w:styleId="Heading5Char">
    <w:name w:val="Heading 5 Char"/>
    <w:basedOn w:val="DefaultParagraphFont"/>
    <w:link w:val="Heading5"/>
    <w:uiPriority w:val="9"/>
    <w:semiHidden/>
    <w:rsid w:val="00546EB5"/>
    <w:rPr>
      <w:i/>
      <w:iCs/>
      <w:sz w:val="24"/>
      <w:szCs w:val="24"/>
    </w:rPr>
  </w:style>
  <w:style w:type="character" w:customStyle="1" w:styleId="Heading6Char">
    <w:name w:val="Heading 6 Char"/>
    <w:basedOn w:val="DefaultParagraphFont"/>
    <w:link w:val="Heading6"/>
    <w:uiPriority w:val="9"/>
    <w:semiHidden/>
    <w:rsid w:val="00546EB5"/>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546EB5"/>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546EB5"/>
    <w:rPr>
      <w:b/>
      <w:bCs/>
      <w:color w:val="7F7F7F" w:themeColor="text1" w:themeTint="80"/>
      <w:sz w:val="20"/>
      <w:szCs w:val="20"/>
    </w:rPr>
  </w:style>
  <w:style w:type="character" w:customStyle="1" w:styleId="Heading9Char">
    <w:name w:val="Heading 9 Char"/>
    <w:basedOn w:val="DefaultParagraphFont"/>
    <w:link w:val="Heading9"/>
    <w:uiPriority w:val="9"/>
    <w:semiHidden/>
    <w:rsid w:val="00546EB5"/>
    <w:rPr>
      <w:b/>
      <w:bCs/>
      <w:i/>
      <w:iCs/>
      <w:color w:val="7F7F7F" w:themeColor="text1" w:themeTint="80"/>
      <w:sz w:val="18"/>
      <w:szCs w:val="18"/>
    </w:rPr>
  </w:style>
  <w:style w:type="paragraph" w:styleId="Title">
    <w:name w:val="Title"/>
    <w:basedOn w:val="Normal"/>
    <w:next w:val="Normal"/>
    <w:link w:val="TitleChar"/>
    <w:uiPriority w:val="10"/>
    <w:rsid w:val="00546EB5"/>
    <w:pPr>
      <w:spacing w:after="300"/>
      <w:contextualSpacing/>
    </w:pPr>
    <w:rPr>
      <w:smallCaps/>
      <w:sz w:val="52"/>
      <w:szCs w:val="52"/>
    </w:rPr>
  </w:style>
  <w:style w:type="character" w:customStyle="1" w:styleId="TitleChar">
    <w:name w:val="Title Char"/>
    <w:basedOn w:val="DefaultParagraphFont"/>
    <w:link w:val="Title"/>
    <w:uiPriority w:val="10"/>
    <w:rsid w:val="00546EB5"/>
    <w:rPr>
      <w:smallCaps/>
      <w:sz w:val="52"/>
      <w:szCs w:val="52"/>
    </w:rPr>
  </w:style>
  <w:style w:type="paragraph" w:styleId="Subtitle">
    <w:name w:val="Subtitle"/>
    <w:basedOn w:val="Normal"/>
    <w:next w:val="Normal"/>
    <w:link w:val="SubtitleChar"/>
    <w:uiPriority w:val="11"/>
    <w:rsid w:val="00546EB5"/>
    <w:rPr>
      <w:i/>
      <w:iCs/>
      <w:smallCaps/>
      <w:spacing w:val="10"/>
      <w:sz w:val="28"/>
      <w:szCs w:val="28"/>
    </w:rPr>
  </w:style>
  <w:style w:type="character" w:customStyle="1" w:styleId="SubtitleChar">
    <w:name w:val="Subtitle Char"/>
    <w:basedOn w:val="DefaultParagraphFont"/>
    <w:link w:val="Subtitle"/>
    <w:uiPriority w:val="11"/>
    <w:rsid w:val="00546EB5"/>
    <w:rPr>
      <w:i/>
      <w:iCs/>
      <w:smallCaps/>
      <w:spacing w:val="10"/>
      <w:sz w:val="28"/>
      <w:szCs w:val="28"/>
    </w:rPr>
  </w:style>
  <w:style w:type="character" w:styleId="Strong">
    <w:name w:val="Strong"/>
    <w:uiPriority w:val="22"/>
    <w:qFormat/>
    <w:rsid w:val="00546EB5"/>
    <w:rPr>
      <w:b/>
      <w:bCs/>
    </w:rPr>
  </w:style>
  <w:style w:type="character" w:styleId="Emphasis">
    <w:name w:val="Emphasis"/>
    <w:uiPriority w:val="20"/>
    <w:rsid w:val="00546EB5"/>
    <w:rPr>
      <w:b/>
      <w:bCs/>
      <w:i/>
      <w:iCs/>
      <w:spacing w:val="10"/>
    </w:rPr>
  </w:style>
  <w:style w:type="paragraph" w:styleId="NoSpacing">
    <w:name w:val="No Spacing"/>
    <w:basedOn w:val="Normal"/>
    <w:uiPriority w:val="1"/>
    <w:rsid w:val="00546EB5"/>
  </w:style>
  <w:style w:type="paragraph" w:styleId="ListParagraph">
    <w:name w:val="List Paragraph"/>
    <w:basedOn w:val="Normal"/>
    <w:uiPriority w:val="34"/>
    <w:qFormat/>
    <w:rsid w:val="00546EB5"/>
    <w:pPr>
      <w:ind w:left="720"/>
      <w:contextualSpacing/>
    </w:pPr>
  </w:style>
  <w:style w:type="paragraph" w:styleId="Quote">
    <w:name w:val="Quote"/>
    <w:basedOn w:val="Normal"/>
    <w:next w:val="Normal"/>
    <w:link w:val="QuoteChar"/>
    <w:uiPriority w:val="29"/>
    <w:rsid w:val="00546EB5"/>
    <w:rPr>
      <w:i/>
      <w:iCs/>
    </w:rPr>
  </w:style>
  <w:style w:type="character" w:customStyle="1" w:styleId="QuoteChar">
    <w:name w:val="Quote Char"/>
    <w:basedOn w:val="DefaultParagraphFont"/>
    <w:link w:val="Quote"/>
    <w:uiPriority w:val="29"/>
    <w:rsid w:val="00546EB5"/>
    <w:rPr>
      <w:i/>
      <w:iCs/>
    </w:rPr>
  </w:style>
  <w:style w:type="paragraph" w:styleId="IntenseQuote">
    <w:name w:val="Intense Quote"/>
    <w:basedOn w:val="Normal"/>
    <w:next w:val="Normal"/>
    <w:link w:val="IntenseQuoteChar"/>
    <w:uiPriority w:val="30"/>
    <w:rsid w:val="00546EB5"/>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546EB5"/>
    <w:rPr>
      <w:i/>
      <w:iCs/>
    </w:rPr>
  </w:style>
  <w:style w:type="character" w:styleId="SubtleEmphasis">
    <w:name w:val="Subtle Emphasis"/>
    <w:uiPriority w:val="19"/>
    <w:rsid w:val="00546EB5"/>
    <w:rPr>
      <w:i/>
      <w:iCs/>
    </w:rPr>
  </w:style>
  <w:style w:type="character" w:styleId="IntenseEmphasis">
    <w:name w:val="Intense Emphasis"/>
    <w:uiPriority w:val="21"/>
    <w:rsid w:val="00546EB5"/>
    <w:rPr>
      <w:b/>
      <w:bCs/>
      <w:i/>
      <w:iCs/>
    </w:rPr>
  </w:style>
  <w:style w:type="character" w:styleId="SubtleReference">
    <w:name w:val="Subtle Reference"/>
    <w:basedOn w:val="DefaultParagraphFont"/>
    <w:uiPriority w:val="31"/>
    <w:rsid w:val="00546EB5"/>
    <w:rPr>
      <w:smallCaps/>
    </w:rPr>
  </w:style>
  <w:style w:type="character" w:styleId="IntenseReference">
    <w:name w:val="Intense Reference"/>
    <w:uiPriority w:val="32"/>
    <w:rsid w:val="00546EB5"/>
    <w:rPr>
      <w:b/>
      <w:bCs/>
      <w:smallCaps/>
    </w:rPr>
  </w:style>
  <w:style w:type="character" w:styleId="BookTitle">
    <w:name w:val="Book Title"/>
    <w:basedOn w:val="Heading1Char"/>
    <w:uiPriority w:val="33"/>
    <w:rsid w:val="00546EB5"/>
    <w:rPr>
      <w:rFonts w:ascii="Avenir Book" w:hAnsi="Avenir Book"/>
      <w:b/>
      <w:i w:val="0"/>
      <w:iCs/>
      <w:smallCaps w:val="0"/>
      <w:spacing w:val="5"/>
      <w:sz w:val="32"/>
      <w:szCs w:val="36"/>
    </w:rPr>
  </w:style>
  <w:style w:type="paragraph" w:styleId="TOCHeading">
    <w:name w:val="TOC Heading"/>
    <w:basedOn w:val="Heading1"/>
    <w:next w:val="Normal"/>
    <w:uiPriority w:val="39"/>
    <w:semiHidden/>
    <w:unhideWhenUsed/>
    <w:qFormat/>
    <w:rsid w:val="00546EB5"/>
    <w:pPr>
      <w:outlineLvl w:val="9"/>
    </w:pPr>
  </w:style>
  <w:style w:type="paragraph" w:customStyle="1" w:styleId="IBTitle">
    <w:name w:val="IB Title"/>
    <w:basedOn w:val="Title"/>
    <w:qFormat/>
    <w:rsid w:val="003D6626"/>
    <w:pPr>
      <w:spacing w:after="0"/>
    </w:pPr>
    <w:rPr>
      <w:rFonts w:ascii="Calibri" w:hAnsi="Calibri" w:cs="Euphemia UCAS"/>
      <w:b/>
      <w:smallCaps w:val="0"/>
      <w:sz w:val="32"/>
      <w:szCs w:val="32"/>
    </w:rPr>
  </w:style>
  <w:style w:type="paragraph" w:customStyle="1" w:styleId="IBSubtitle">
    <w:name w:val="IB Subtitle"/>
    <w:basedOn w:val="Subtitle"/>
    <w:qFormat/>
    <w:rsid w:val="003D6626"/>
    <w:rPr>
      <w:rFonts w:ascii="Cambria" w:hAnsi="Cambria" w:cs="Plantagenet Cherokee"/>
      <w:bCs/>
      <w:iCs w:val="0"/>
      <w:smallCaps w:val="0"/>
    </w:rPr>
  </w:style>
  <w:style w:type="paragraph" w:customStyle="1" w:styleId="IBHeading1">
    <w:name w:val="IB Heading1"/>
    <w:basedOn w:val="Subtitle"/>
    <w:qFormat/>
    <w:rsid w:val="003D6626"/>
    <w:rPr>
      <w:rFonts w:ascii="Cambria" w:hAnsi="Cambria"/>
      <w:b/>
      <w:bCs/>
      <w:i w:val="0"/>
      <w:iCs w:val="0"/>
      <w:smallCaps w:val="0"/>
      <w:spacing w:val="5"/>
      <w:sz w:val="24"/>
      <w:szCs w:val="24"/>
    </w:rPr>
  </w:style>
  <w:style w:type="paragraph" w:customStyle="1" w:styleId="IBSubheading1">
    <w:name w:val="IB Subheading1"/>
    <w:basedOn w:val="Normal"/>
    <w:qFormat/>
    <w:rsid w:val="003D6626"/>
    <w:rPr>
      <w:rFonts w:ascii="Cambria" w:hAnsi="Cambria"/>
      <w:bCs/>
      <w:sz w:val="24"/>
      <w:szCs w:val="24"/>
    </w:rPr>
  </w:style>
  <w:style w:type="paragraph" w:customStyle="1" w:styleId="IBSubheading2">
    <w:name w:val="IB Subheading2"/>
    <w:basedOn w:val="Normal"/>
    <w:qFormat/>
    <w:rsid w:val="003D6626"/>
    <w:pPr>
      <w:ind w:firstLine="720"/>
    </w:pPr>
    <w:rPr>
      <w:rFonts w:ascii="Cambria" w:hAnsi="Cambria"/>
      <w:bCs/>
      <w:i/>
      <w:sz w:val="24"/>
      <w:szCs w:val="24"/>
    </w:rPr>
  </w:style>
  <w:style w:type="paragraph" w:customStyle="1" w:styleId="IBBodyCopy">
    <w:name w:val="IB Body Copy"/>
    <w:basedOn w:val="p8"/>
    <w:qFormat/>
    <w:rsid w:val="003D6626"/>
    <w:rPr>
      <w:rFonts w:ascii="Calibri" w:hAnsi="Calibri"/>
      <w:sz w:val="20"/>
      <w:szCs w:val="20"/>
    </w:rPr>
  </w:style>
  <w:style w:type="paragraph" w:styleId="BalloonText">
    <w:name w:val="Balloon Text"/>
    <w:basedOn w:val="Normal"/>
    <w:link w:val="BalloonTextChar"/>
    <w:uiPriority w:val="99"/>
    <w:semiHidden/>
    <w:unhideWhenUsed/>
    <w:rsid w:val="001765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65F9"/>
    <w:rPr>
      <w:rFonts w:ascii="Segoe UI" w:hAnsi="Segoe UI" w:cs="Segoe UI"/>
      <w:sz w:val="18"/>
      <w:szCs w:val="18"/>
    </w:rPr>
  </w:style>
  <w:style w:type="paragraph" w:styleId="EndnoteText">
    <w:name w:val="endnote text"/>
    <w:basedOn w:val="Normal"/>
    <w:link w:val="EndnoteTextChar"/>
    <w:uiPriority w:val="99"/>
    <w:unhideWhenUsed/>
    <w:rsid w:val="00F609FA"/>
    <w:rPr>
      <w:sz w:val="24"/>
      <w:szCs w:val="24"/>
    </w:rPr>
  </w:style>
  <w:style w:type="character" w:customStyle="1" w:styleId="EndnoteTextChar">
    <w:name w:val="Endnote Text Char"/>
    <w:basedOn w:val="DefaultParagraphFont"/>
    <w:link w:val="EndnoteText"/>
    <w:uiPriority w:val="99"/>
    <w:rsid w:val="00F609FA"/>
    <w:rPr>
      <w:sz w:val="24"/>
      <w:szCs w:val="24"/>
    </w:rPr>
  </w:style>
  <w:style w:type="character" w:styleId="EndnoteReference">
    <w:name w:val="endnote reference"/>
    <w:basedOn w:val="DefaultParagraphFont"/>
    <w:uiPriority w:val="99"/>
    <w:unhideWhenUsed/>
    <w:rsid w:val="00F609FA"/>
    <w:rPr>
      <w:vertAlign w:val="superscript"/>
    </w:rPr>
  </w:style>
  <w:style w:type="paragraph" w:styleId="FootnoteText">
    <w:name w:val="footnote text"/>
    <w:basedOn w:val="Normal"/>
    <w:link w:val="FootnoteTextChar"/>
    <w:uiPriority w:val="99"/>
    <w:unhideWhenUsed/>
    <w:rsid w:val="00493EEC"/>
    <w:rPr>
      <w:sz w:val="24"/>
      <w:szCs w:val="24"/>
    </w:rPr>
  </w:style>
  <w:style w:type="character" w:customStyle="1" w:styleId="FootnoteTextChar">
    <w:name w:val="Footnote Text Char"/>
    <w:basedOn w:val="DefaultParagraphFont"/>
    <w:link w:val="FootnoteText"/>
    <w:uiPriority w:val="99"/>
    <w:rsid w:val="00493EEC"/>
    <w:rPr>
      <w:sz w:val="24"/>
      <w:szCs w:val="24"/>
    </w:rPr>
  </w:style>
  <w:style w:type="character" w:styleId="FootnoteReference">
    <w:name w:val="footnote reference"/>
    <w:basedOn w:val="DefaultParagraphFont"/>
    <w:uiPriority w:val="99"/>
    <w:unhideWhenUsed/>
    <w:rsid w:val="00493EEC"/>
    <w:rPr>
      <w:vertAlign w:val="superscript"/>
    </w:rPr>
  </w:style>
  <w:style w:type="character" w:styleId="Hyperlink">
    <w:name w:val="Hyperlink"/>
    <w:basedOn w:val="DefaultParagraphFont"/>
    <w:uiPriority w:val="99"/>
    <w:unhideWhenUsed/>
    <w:rsid w:val="00E23062"/>
    <w:rPr>
      <w:color w:val="0563C1" w:themeColor="hyperlink"/>
      <w:u w:val="single"/>
    </w:rPr>
  </w:style>
  <w:style w:type="character" w:styleId="FollowedHyperlink">
    <w:name w:val="FollowedHyperlink"/>
    <w:basedOn w:val="DefaultParagraphFont"/>
    <w:uiPriority w:val="99"/>
    <w:semiHidden/>
    <w:unhideWhenUsed/>
    <w:rsid w:val="00743CD8"/>
    <w:rPr>
      <w:color w:val="954F72" w:themeColor="followedHyperlink"/>
      <w:u w:val="single"/>
    </w:rPr>
  </w:style>
  <w:style w:type="table" w:customStyle="1" w:styleId="GridTable2-Accent11">
    <w:name w:val="Grid Table 2 - Accent 11"/>
    <w:basedOn w:val="TableNormal"/>
    <w:uiPriority w:val="47"/>
    <w:rsid w:val="00D97A81"/>
    <w:tblPr>
      <w:tblStyleRowBandSize w:val="1"/>
      <w:tblStyleColBandSize w:val="1"/>
      <w:tblBorders>
        <w:top w:val="single" w:sz="2" w:space="0" w:color="FBDD9B" w:themeColor="accent1" w:themeTint="99"/>
        <w:bottom w:val="single" w:sz="2" w:space="0" w:color="FBDD9B" w:themeColor="accent1" w:themeTint="99"/>
        <w:insideH w:val="single" w:sz="2" w:space="0" w:color="FBDD9B" w:themeColor="accent1" w:themeTint="99"/>
        <w:insideV w:val="single" w:sz="2" w:space="0" w:color="FBDD9B" w:themeColor="accent1" w:themeTint="99"/>
      </w:tblBorders>
    </w:tblPr>
    <w:tblStylePr w:type="firstRow">
      <w:rPr>
        <w:b/>
        <w:bCs/>
      </w:rPr>
      <w:tblPr/>
      <w:tcPr>
        <w:tcBorders>
          <w:top w:val="nil"/>
          <w:bottom w:val="single" w:sz="12" w:space="0" w:color="FBDD9B" w:themeColor="accent1" w:themeTint="99"/>
          <w:insideH w:val="nil"/>
          <w:insideV w:val="nil"/>
        </w:tcBorders>
        <w:shd w:val="clear" w:color="auto" w:fill="FFFFFF" w:themeFill="background1"/>
      </w:tcPr>
    </w:tblStylePr>
    <w:tblStylePr w:type="lastRow">
      <w:rPr>
        <w:b/>
        <w:bCs/>
      </w:rPr>
      <w:tblPr/>
      <w:tcPr>
        <w:tcBorders>
          <w:top w:val="double" w:sz="2" w:space="0" w:color="FBDD9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F3DD" w:themeFill="accent1" w:themeFillTint="33"/>
      </w:tcPr>
    </w:tblStylePr>
    <w:tblStylePr w:type="band1Horz">
      <w:tblPr/>
      <w:tcPr>
        <w:shd w:val="clear" w:color="auto" w:fill="FDF3DD" w:themeFill="accent1" w:themeFillTint="33"/>
      </w:tcPr>
    </w:tblStylePr>
  </w:style>
  <w:style w:type="table" w:customStyle="1" w:styleId="GridTable2-Accent41">
    <w:name w:val="Grid Table 2 - Accent 41"/>
    <w:basedOn w:val="TableNormal"/>
    <w:uiPriority w:val="47"/>
    <w:rsid w:val="005D6A12"/>
    <w:tblPr>
      <w:tblStyleRowBandSize w:val="1"/>
      <w:tblStyleColBandSize w:val="1"/>
      <w:tblBorders>
        <w:top w:val="single" w:sz="2" w:space="0" w:color="97B6BD" w:themeColor="accent4" w:themeTint="99"/>
        <w:bottom w:val="single" w:sz="2" w:space="0" w:color="97B6BD" w:themeColor="accent4" w:themeTint="99"/>
        <w:insideH w:val="single" w:sz="2" w:space="0" w:color="97B6BD" w:themeColor="accent4" w:themeTint="99"/>
        <w:insideV w:val="single" w:sz="2" w:space="0" w:color="97B6BD" w:themeColor="accent4" w:themeTint="99"/>
      </w:tblBorders>
    </w:tblPr>
    <w:tblStylePr w:type="firstRow">
      <w:rPr>
        <w:b/>
        <w:bCs/>
      </w:rPr>
      <w:tblPr/>
      <w:tcPr>
        <w:tcBorders>
          <w:top w:val="nil"/>
          <w:bottom w:val="single" w:sz="12" w:space="0" w:color="97B6BD" w:themeColor="accent4" w:themeTint="99"/>
          <w:insideH w:val="nil"/>
          <w:insideV w:val="nil"/>
        </w:tcBorders>
        <w:shd w:val="clear" w:color="auto" w:fill="FFFFFF" w:themeFill="background1"/>
      </w:tcPr>
    </w:tblStylePr>
    <w:tblStylePr w:type="lastRow">
      <w:rPr>
        <w:b/>
        <w:bCs/>
      </w:rPr>
      <w:tblPr/>
      <w:tcPr>
        <w:tcBorders>
          <w:top w:val="double" w:sz="2" w:space="0" w:color="97B6BD"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6E9" w:themeFill="accent4" w:themeFillTint="33"/>
      </w:tcPr>
    </w:tblStylePr>
    <w:tblStylePr w:type="band1Horz">
      <w:tblPr/>
      <w:tcPr>
        <w:shd w:val="clear" w:color="auto" w:fill="DCE6E9" w:themeFill="accent4" w:themeFillTint="33"/>
      </w:tcPr>
    </w:tblStylePr>
  </w:style>
  <w:style w:type="table" w:customStyle="1" w:styleId="GridTable2-Accent51">
    <w:name w:val="Grid Table 2 - Accent 51"/>
    <w:basedOn w:val="TableNormal"/>
    <w:uiPriority w:val="47"/>
    <w:rsid w:val="005D6A12"/>
    <w:tblPr>
      <w:tblStyleRowBandSize w:val="1"/>
      <w:tblStyleColBandSize w:val="1"/>
      <w:tblBorders>
        <w:top w:val="single" w:sz="2" w:space="0" w:color="CAE4D9" w:themeColor="accent5" w:themeTint="99"/>
        <w:bottom w:val="single" w:sz="2" w:space="0" w:color="CAE4D9" w:themeColor="accent5" w:themeTint="99"/>
        <w:insideH w:val="single" w:sz="2" w:space="0" w:color="CAE4D9" w:themeColor="accent5" w:themeTint="99"/>
        <w:insideV w:val="single" w:sz="2" w:space="0" w:color="CAE4D9" w:themeColor="accent5" w:themeTint="99"/>
      </w:tblBorders>
    </w:tblPr>
    <w:tblStylePr w:type="firstRow">
      <w:rPr>
        <w:b/>
        <w:bCs/>
      </w:rPr>
      <w:tblPr/>
      <w:tcPr>
        <w:tcBorders>
          <w:top w:val="nil"/>
          <w:bottom w:val="single" w:sz="12" w:space="0" w:color="CAE4D9" w:themeColor="accent5" w:themeTint="99"/>
          <w:insideH w:val="nil"/>
          <w:insideV w:val="nil"/>
        </w:tcBorders>
        <w:shd w:val="clear" w:color="auto" w:fill="FFFFFF" w:themeFill="background1"/>
      </w:tcPr>
    </w:tblStylePr>
    <w:tblStylePr w:type="lastRow">
      <w:rPr>
        <w:b/>
        <w:bCs/>
      </w:rPr>
      <w:tblPr/>
      <w:tcPr>
        <w:tcBorders>
          <w:top w:val="double" w:sz="2" w:space="0" w:color="CAE4D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F6F2" w:themeFill="accent5" w:themeFillTint="33"/>
      </w:tcPr>
    </w:tblStylePr>
    <w:tblStylePr w:type="band1Horz">
      <w:tblPr/>
      <w:tcPr>
        <w:shd w:val="clear" w:color="auto" w:fill="EDF6F2" w:themeFill="accent5" w:themeFillTint="33"/>
      </w:tcPr>
    </w:tblStylePr>
  </w:style>
  <w:style w:type="character" w:styleId="CommentReference">
    <w:name w:val="annotation reference"/>
    <w:basedOn w:val="DefaultParagraphFont"/>
    <w:uiPriority w:val="99"/>
    <w:semiHidden/>
    <w:unhideWhenUsed/>
    <w:rsid w:val="00B2792E"/>
    <w:rPr>
      <w:sz w:val="16"/>
      <w:szCs w:val="16"/>
    </w:rPr>
  </w:style>
  <w:style w:type="paragraph" w:styleId="CommentText">
    <w:name w:val="annotation text"/>
    <w:basedOn w:val="Normal"/>
    <w:link w:val="CommentTextChar"/>
    <w:uiPriority w:val="99"/>
    <w:semiHidden/>
    <w:unhideWhenUsed/>
    <w:rsid w:val="00B2792E"/>
    <w:rPr>
      <w:sz w:val="20"/>
      <w:szCs w:val="20"/>
    </w:rPr>
  </w:style>
  <w:style w:type="character" w:customStyle="1" w:styleId="CommentTextChar">
    <w:name w:val="Comment Text Char"/>
    <w:basedOn w:val="DefaultParagraphFont"/>
    <w:link w:val="CommentText"/>
    <w:uiPriority w:val="99"/>
    <w:semiHidden/>
    <w:rsid w:val="00B2792E"/>
    <w:rPr>
      <w:sz w:val="20"/>
      <w:szCs w:val="20"/>
    </w:rPr>
  </w:style>
  <w:style w:type="paragraph" w:styleId="CommentSubject">
    <w:name w:val="annotation subject"/>
    <w:basedOn w:val="CommentText"/>
    <w:next w:val="CommentText"/>
    <w:link w:val="CommentSubjectChar"/>
    <w:uiPriority w:val="99"/>
    <w:semiHidden/>
    <w:unhideWhenUsed/>
    <w:rsid w:val="00B2792E"/>
    <w:rPr>
      <w:b/>
      <w:bCs/>
    </w:rPr>
  </w:style>
  <w:style w:type="character" w:customStyle="1" w:styleId="CommentSubjectChar">
    <w:name w:val="Comment Subject Char"/>
    <w:basedOn w:val="CommentTextChar"/>
    <w:link w:val="CommentSubject"/>
    <w:uiPriority w:val="99"/>
    <w:semiHidden/>
    <w:rsid w:val="00B279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341639">
      <w:bodyDiv w:val="1"/>
      <w:marLeft w:val="0"/>
      <w:marRight w:val="0"/>
      <w:marTop w:val="0"/>
      <w:marBottom w:val="0"/>
      <w:divBdr>
        <w:top w:val="none" w:sz="0" w:space="0" w:color="auto"/>
        <w:left w:val="none" w:sz="0" w:space="0" w:color="auto"/>
        <w:bottom w:val="none" w:sz="0" w:space="0" w:color="auto"/>
        <w:right w:val="none" w:sz="0" w:space="0" w:color="auto"/>
      </w:divBdr>
    </w:div>
    <w:div w:id="1200362762">
      <w:bodyDiv w:val="1"/>
      <w:marLeft w:val="0"/>
      <w:marRight w:val="0"/>
      <w:marTop w:val="0"/>
      <w:marBottom w:val="0"/>
      <w:divBdr>
        <w:top w:val="none" w:sz="0" w:space="0" w:color="auto"/>
        <w:left w:val="none" w:sz="0" w:space="0" w:color="auto"/>
        <w:bottom w:val="none" w:sz="0" w:space="0" w:color="auto"/>
        <w:right w:val="none" w:sz="0" w:space="0" w:color="auto"/>
      </w:divBdr>
    </w:div>
    <w:div w:id="1817061468">
      <w:bodyDiv w:val="1"/>
      <w:marLeft w:val="0"/>
      <w:marRight w:val="0"/>
      <w:marTop w:val="0"/>
      <w:marBottom w:val="0"/>
      <w:divBdr>
        <w:top w:val="none" w:sz="0" w:space="0" w:color="auto"/>
        <w:left w:val="none" w:sz="0" w:space="0" w:color="auto"/>
        <w:bottom w:val="none" w:sz="0" w:space="0" w:color="auto"/>
        <w:right w:val="none" w:sz="0" w:space="0" w:color="auto"/>
      </w:divBdr>
    </w:div>
    <w:div w:id="1964463057">
      <w:bodyDiv w:val="1"/>
      <w:marLeft w:val="0"/>
      <w:marRight w:val="0"/>
      <w:marTop w:val="0"/>
      <w:marBottom w:val="0"/>
      <w:divBdr>
        <w:top w:val="none" w:sz="0" w:space="0" w:color="auto"/>
        <w:left w:val="none" w:sz="0" w:space="0" w:color="auto"/>
        <w:bottom w:val="none" w:sz="0" w:space="0" w:color="auto"/>
        <w:right w:val="none" w:sz="0" w:space="0" w:color="auto"/>
      </w:divBdr>
      <w:divsChild>
        <w:div w:id="499740719">
          <w:marLeft w:val="360"/>
          <w:marRight w:val="0"/>
          <w:marTop w:val="200"/>
          <w:marBottom w:val="0"/>
          <w:divBdr>
            <w:top w:val="none" w:sz="0" w:space="0" w:color="auto"/>
            <w:left w:val="none" w:sz="0" w:space="0" w:color="auto"/>
            <w:bottom w:val="none" w:sz="0" w:space="0" w:color="auto"/>
            <w:right w:val="none" w:sz="0" w:space="0" w:color="auto"/>
          </w:divBdr>
        </w:div>
        <w:div w:id="1965964142">
          <w:marLeft w:val="1080"/>
          <w:marRight w:val="0"/>
          <w:marTop w:val="100"/>
          <w:marBottom w:val="0"/>
          <w:divBdr>
            <w:top w:val="none" w:sz="0" w:space="0" w:color="auto"/>
            <w:left w:val="none" w:sz="0" w:space="0" w:color="auto"/>
            <w:bottom w:val="none" w:sz="0" w:space="0" w:color="auto"/>
            <w:right w:val="none" w:sz="0" w:space="0" w:color="auto"/>
          </w:divBdr>
        </w:div>
        <w:div w:id="480078012">
          <w:marLeft w:val="1080"/>
          <w:marRight w:val="0"/>
          <w:marTop w:val="100"/>
          <w:marBottom w:val="0"/>
          <w:divBdr>
            <w:top w:val="none" w:sz="0" w:space="0" w:color="auto"/>
            <w:left w:val="none" w:sz="0" w:space="0" w:color="auto"/>
            <w:bottom w:val="none" w:sz="0" w:space="0" w:color="auto"/>
            <w:right w:val="none" w:sz="0" w:space="0" w:color="auto"/>
          </w:divBdr>
        </w:div>
        <w:div w:id="1625038038">
          <w:marLeft w:val="360"/>
          <w:marRight w:val="0"/>
          <w:marTop w:val="200"/>
          <w:marBottom w:val="0"/>
          <w:divBdr>
            <w:top w:val="none" w:sz="0" w:space="0" w:color="auto"/>
            <w:left w:val="none" w:sz="0" w:space="0" w:color="auto"/>
            <w:bottom w:val="none" w:sz="0" w:space="0" w:color="auto"/>
            <w:right w:val="none" w:sz="0" w:space="0" w:color="auto"/>
          </w:divBdr>
        </w:div>
        <w:div w:id="31611912">
          <w:marLeft w:val="1080"/>
          <w:marRight w:val="0"/>
          <w:marTop w:val="100"/>
          <w:marBottom w:val="0"/>
          <w:divBdr>
            <w:top w:val="none" w:sz="0" w:space="0" w:color="auto"/>
            <w:left w:val="none" w:sz="0" w:space="0" w:color="auto"/>
            <w:bottom w:val="none" w:sz="0" w:space="0" w:color="auto"/>
            <w:right w:val="none" w:sz="0" w:space="0" w:color="auto"/>
          </w:divBdr>
        </w:div>
        <w:div w:id="951982157">
          <w:marLeft w:val="1080"/>
          <w:marRight w:val="0"/>
          <w:marTop w:val="100"/>
          <w:marBottom w:val="0"/>
          <w:divBdr>
            <w:top w:val="none" w:sz="0" w:space="0" w:color="auto"/>
            <w:left w:val="none" w:sz="0" w:space="0" w:color="auto"/>
            <w:bottom w:val="none" w:sz="0" w:space="0" w:color="auto"/>
            <w:right w:val="none" w:sz="0" w:space="0" w:color="auto"/>
          </w:divBdr>
        </w:div>
        <w:div w:id="2065906976">
          <w:marLeft w:val="360"/>
          <w:marRight w:val="0"/>
          <w:marTop w:val="200"/>
          <w:marBottom w:val="0"/>
          <w:divBdr>
            <w:top w:val="none" w:sz="0" w:space="0" w:color="auto"/>
            <w:left w:val="none" w:sz="0" w:space="0" w:color="auto"/>
            <w:bottom w:val="none" w:sz="0" w:space="0" w:color="auto"/>
            <w:right w:val="none" w:sz="0" w:space="0" w:color="auto"/>
          </w:divBdr>
        </w:div>
        <w:div w:id="1769735878">
          <w:marLeft w:val="1080"/>
          <w:marRight w:val="0"/>
          <w:marTop w:val="100"/>
          <w:marBottom w:val="0"/>
          <w:divBdr>
            <w:top w:val="none" w:sz="0" w:space="0" w:color="auto"/>
            <w:left w:val="none" w:sz="0" w:space="0" w:color="auto"/>
            <w:bottom w:val="none" w:sz="0" w:space="0" w:color="auto"/>
            <w:right w:val="none" w:sz="0" w:space="0" w:color="auto"/>
          </w:divBdr>
        </w:div>
        <w:div w:id="1208420565">
          <w:marLeft w:val="360"/>
          <w:marRight w:val="0"/>
          <w:marTop w:val="200"/>
          <w:marBottom w:val="0"/>
          <w:divBdr>
            <w:top w:val="none" w:sz="0" w:space="0" w:color="auto"/>
            <w:left w:val="none" w:sz="0" w:space="0" w:color="auto"/>
            <w:bottom w:val="none" w:sz="0" w:space="0" w:color="auto"/>
            <w:right w:val="none" w:sz="0" w:space="0" w:color="auto"/>
          </w:divBdr>
        </w:div>
        <w:div w:id="1651670431">
          <w:marLeft w:val="1080"/>
          <w:marRight w:val="0"/>
          <w:marTop w:val="100"/>
          <w:marBottom w:val="0"/>
          <w:divBdr>
            <w:top w:val="none" w:sz="0" w:space="0" w:color="auto"/>
            <w:left w:val="none" w:sz="0" w:space="0" w:color="auto"/>
            <w:bottom w:val="none" w:sz="0" w:space="0" w:color="auto"/>
            <w:right w:val="none" w:sz="0" w:space="0" w:color="auto"/>
          </w:divBdr>
        </w:div>
        <w:div w:id="2059085743">
          <w:marLeft w:val="1080"/>
          <w:marRight w:val="0"/>
          <w:marTop w:val="10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ticas.org/sites/default/files/pub_files/classof2015.pdf" TargetMode="External"/><Relationship Id="rId1" Type="http://schemas.openxmlformats.org/officeDocument/2006/relationships/hyperlink" Target="https://trends.collegeboard.org/sites/default/files/2016-trends-college-pricing-web_1.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henrie\Desktop\Tuition%20Waiver%20Issue%20Brief%20July%202017.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khenrie\AppData\Local\Microsoft\Windows\Temporary%20Internet%20Files\Content.Outlook\M7Q5HHP2\Tuition%20Waviers%205%20year%20History%202012-2016.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khenrie\Desktop\Tuition%20Waiver%20Brief%20Data.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Franklin Gothic Book" panose="020B0503020102020204" pitchFamily="34" charset="0"/>
                <a:ea typeface="+mn-ea"/>
                <a:cs typeface="+mn-cs"/>
              </a:defRPr>
            </a:pPr>
            <a:r>
              <a:rPr lang="en-US"/>
              <a:t>Utah System of Higher Ed</a:t>
            </a:r>
          </a:p>
          <a:p>
            <a:pPr>
              <a:defRPr/>
            </a:pPr>
            <a:r>
              <a:rPr lang="en-US"/>
              <a:t>Tuition Waiver Use by Category</a:t>
            </a:r>
          </a:p>
          <a:p>
            <a:pPr>
              <a:defRPr/>
            </a:pPr>
            <a:r>
              <a:rPr lang="en-US"/>
              <a:t>FY 2015-16</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Franklin Gothic Book" panose="020B0503020102020204" pitchFamily="34" charset="0"/>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4867-463A-810B-701EB11D8EB2}"/>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4867-463A-810B-701EB11D8EB2}"/>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4867-463A-810B-701EB11D8EB2}"/>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4867-463A-810B-701EB11D8EB2}"/>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4867-463A-810B-701EB11D8EB2}"/>
              </c:ext>
            </c:extLst>
          </c:dPt>
          <c:dLbls>
            <c:dLbl>
              <c:idx val="0"/>
              <c:layout>
                <c:manualLayout>
                  <c:x val="-0.116211149713611"/>
                  <c:y val="8.7569027334247998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4867-463A-810B-701EB11D8EB2}"/>
                </c:ext>
              </c:extLst>
            </c:dLbl>
            <c:dLbl>
              <c:idx val="1"/>
              <c:layout>
                <c:manualLayout>
                  <c:x val="5.86265409328093E-2"/>
                  <c:y val="-0.19420228035185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4867-463A-810B-701EB11D8EB2}"/>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Franklin Gothic Book" panose="020B0503020102020204" pitchFamily="34" charset="0"/>
                    <a:ea typeface="+mn-ea"/>
                    <a:cs typeface="+mn-cs"/>
                  </a:defRPr>
                </a:pPr>
                <a:endParaRPr lang="en-US"/>
              </a:p>
            </c:txPr>
            <c:dLblPos val="bestFit"/>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'Percent of Waivers'!$G$40:$G$44</c:f>
              <c:strCache>
                <c:ptCount val="5"/>
                <c:pt idx="0">
                  <c:v>Res Discretionary</c:v>
                </c:pt>
                <c:pt idx="1">
                  <c:v>Non-res Discretionary</c:v>
                </c:pt>
                <c:pt idx="2">
                  <c:v>Entitlement</c:v>
                </c:pt>
                <c:pt idx="3">
                  <c:v>Targeted</c:v>
                </c:pt>
                <c:pt idx="4">
                  <c:v>Reciprocal</c:v>
                </c:pt>
              </c:strCache>
            </c:strRef>
          </c:cat>
          <c:val>
            <c:numRef>
              <c:f>'Percent of Waivers'!$H$40:$H$44</c:f>
              <c:numCache>
                <c:formatCode>#,##0</c:formatCode>
                <c:ptCount val="5"/>
                <c:pt idx="0">
                  <c:v>40105752</c:v>
                </c:pt>
                <c:pt idx="1">
                  <c:v>63683020</c:v>
                </c:pt>
                <c:pt idx="2">
                  <c:v>9781323</c:v>
                </c:pt>
                <c:pt idx="3" formatCode="_(* #,##0_);_(* \(#,##0\);_(* &quot;-&quot;??_);_(@_)">
                  <c:v>23640</c:v>
                </c:pt>
                <c:pt idx="4" formatCode="_(* #,##0_);_(* \(#,##0\);_(* &quot;-&quot;??_);_(@_)">
                  <c:v>12233687</c:v>
                </c:pt>
              </c:numCache>
            </c:numRef>
          </c:val>
          <c:extLst>
            <c:ext xmlns:c16="http://schemas.microsoft.com/office/drawing/2014/chart" uri="{C3380CC4-5D6E-409C-BE32-E72D297353CC}">
              <c16:uniqueId val="{0000000A-4867-463A-810B-701EB11D8EB2}"/>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Franklin Gothic Book" panose="020B0503020102020204" pitchFamily="34" charset="0"/>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latin typeface="Franklin Gothic Book" panose="020B0503020102020204" pitchFamily="34"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r>
              <a:rPr lang="en-US" sz="1100" b="0"/>
              <a:t>Distribution of Tuition Waivers by Institution and Category</a:t>
            </a:r>
          </a:p>
          <a:p>
            <a:pPr>
              <a:defRPr sz="1100" b="0"/>
            </a:pPr>
            <a:r>
              <a:rPr lang="en-US" sz="1100" b="0"/>
              <a:t>FY 2015-16</a:t>
            </a:r>
          </a:p>
        </c:rich>
      </c:tx>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6.0487751531058599E-2"/>
          <c:y val="0.17655967091157099"/>
          <c:w val="0.94491350284234599"/>
          <c:h val="0.65984671791618499"/>
        </c:manualLayout>
      </c:layout>
      <c:barChart>
        <c:barDir val="col"/>
        <c:grouping val="percentStacked"/>
        <c:varyColors val="0"/>
        <c:ser>
          <c:idx val="0"/>
          <c:order val="0"/>
          <c:tx>
            <c:strRef>
              <c:f>'Percent of Waivers'!$B$76</c:f>
              <c:strCache>
                <c:ptCount val="1"/>
                <c:pt idx="0">
                  <c:v>Discretionary Resident</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'Percent of Waivers'!$A$77:$A$84</c:f>
              <c:strCache>
                <c:ptCount val="8"/>
                <c:pt idx="0">
                  <c:v>UU </c:v>
                </c:pt>
                <c:pt idx="1">
                  <c:v>USU</c:v>
                </c:pt>
                <c:pt idx="2">
                  <c:v>WSU</c:v>
                </c:pt>
                <c:pt idx="3">
                  <c:v>SUU</c:v>
                </c:pt>
                <c:pt idx="4">
                  <c:v>SNOW</c:v>
                </c:pt>
                <c:pt idx="5">
                  <c:v>DSU</c:v>
                </c:pt>
                <c:pt idx="6">
                  <c:v>UVU</c:v>
                </c:pt>
                <c:pt idx="7">
                  <c:v>SLCC</c:v>
                </c:pt>
              </c:strCache>
            </c:strRef>
          </c:cat>
          <c:val>
            <c:numRef>
              <c:f>'Percent of Waivers'!$B$77:$B$84</c:f>
              <c:numCache>
                <c:formatCode>0%</c:formatCode>
                <c:ptCount val="8"/>
                <c:pt idx="0">
                  <c:v>0.41047751992161502</c:v>
                </c:pt>
                <c:pt idx="1">
                  <c:v>0.18118387214880799</c:v>
                </c:pt>
                <c:pt idx="2">
                  <c:v>0.50632054254950798</c:v>
                </c:pt>
                <c:pt idx="3">
                  <c:v>0.23794810933607499</c:v>
                </c:pt>
                <c:pt idx="4">
                  <c:v>0.49938779701718899</c:v>
                </c:pt>
                <c:pt idx="5">
                  <c:v>0.28888033562568999</c:v>
                </c:pt>
                <c:pt idx="6">
                  <c:v>0.37874058293187501</c:v>
                </c:pt>
                <c:pt idx="7">
                  <c:v>0.48119911718369501</c:v>
                </c:pt>
              </c:numCache>
            </c:numRef>
          </c:val>
          <c:extLst>
            <c:ext xmlns:c16="http://schemas.microsoft.com/office/drawing/2014/chart" uri="{C3380CC4-5D6E-409C-BE32-E72D297353CC}">
              <c16:uniqueId val="{00000000-F555-480D-8A97-8BCBA92DDB00}"/>
            </c:ext>
          </c:extLst>
        </c:ser>
        <c:ser>
          <c:idx val="1"/>
          <c:order val="1"/>
          <c:tx>
            <c:strRef>
              <c:f>'Percent of Waivers'!$C$76</c:f>
              <c:strCache>
                <c:ptCount val="1"/>
                <c:pt idx="0">
                  <c:v>Discretionary Non-resident</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'Percent of Waivers'!$A$77:$A$84</c:f>
              <c:strCache>
                <c:ptCount val="8"/>
                <c:pt idx="0">
                  <c:v>UU </c:v>
                </c:pt>
                <c:pt idx="1">
                  <c:v>USU</c:v>
                </c:pt>
                <c:pt idx="2">
                  <c:v>WSU</c:v>
                </c:pt>
                <c:pt idx="3">
                  <c:v>SUU</c:v>
                </c:pt>
                <c:pt idx="4">
                  <c:v>SNOW</c:v>
                </c:pt>
                <c:pt idx="5">
                  <c:v>DSU</c:v>
                </c:pt>
                <c:pt idx="6">
                  <c:v>UVU</c:v>
                </c:pt>
                <c:pt idx="7">
                  <c:v>SLCC</c:v>
                </c:pt>
              </c:strCache>
            </c:strRef>
          </c:cat>
          <c:val>
            <c:numRef>
              <c:f>'Percent of Waivers'!$C$77:$C$84</c:f>
              <c:numCache>
                <c:formatCode>0%</c:formatCode>
                <c:ptCount val="8"/>
                <c:pt idx="0">
                  <c:v>0.32998711433491501</c:v>
                </c:pt>
                <c:pt idx="1">
                  <c:v>0.77084850358628498</c:v>
                </c:pt>
                <c:pt idx="2">
                  <c:v>0.36964466860090001</c:v>
                </c:pt>
                <c:pt idx="3">
                  <c:v>0.53924660009396996</c:v>
                </c:pt>
                <c:pt idx="4">
                  <c:v>0.43693519337714898</c:v>
                </c:pt>
                <c:pt idx="5">
                  <c:v>0.52096918278337101</c:v>
                </c:pt>
                <c:pt idx="6">
                  <c:v>0.347574687378855</c:v>
                </c:pt>
                <c:pt idx="7">
                  <c:v>3.8052966995888997E-2</c:v>
                </c:pt>
              </c:numCache>
            </c:numRef>
          </c:val>
          <c:extLst>
            <c:ext xmlns:c16="http://schemas.microsoft.com/office/drawing/2014/chart" uri="{C3380CC4-5D6E-409C-BE32-E72D297353CC}">
              <c16:uniqueId val="{00000001-F555-480D-8A97-8BCBA92DDB00}"/>
            </c:ext>
          </c:extLst>
        </c:ser>
        <c:ser>
          <c:idx val="2"/>
          <c:order val="2"/>
          <c:tx>
            <c:strRef>
              <c:f>'Percent of Waivers'!$D$76</c:f>
              <c:strCache>
                <c:ptCount val="1"/>
                <c:pt idx="0">
                  <c:v>Entitlement</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'Percent of Waivers'!$A$77:$A$84</c:f>
              <c:strCache>
                <c:ptCount val="8"/>
                <c:pt idx="0">
                  <c:v>UU </c:v>
                </c:pt>
                <c:pt idx="1">
                  <c:v>USU</c:v>
                </c:pt>
                <c:pt idx="2">
                  <c:v>WSU</c:v>
                </c:pt>
                <c:pt idx="3">
                  <c:v>SUU</c:v>
                </c:pt>
                <c:pt idx="4">
                  <c:v>SNOW</c:v>
                </c:pt>
                <c:pt idx="5">
                  <c:v>DSU</c:v>
                </c:pt>
                <c:pt idx="6">
                  <c:v>UVU</c:v>
                </c:pt>
                <c:pt idx="7">
                  <c:v>SLCC</c:v>
                </c:pt>
              </c:strCache>
            </c:strRef>
          </c:cat>
          <c:val>
            <c:numRef>
              <c:f>'Percent of Waivers'!$D$77:$D$84</c:f>
              <c:numCache>
                <c:formatCode>0%</c:formatCode>
                <c:ptCount val="8"/>
                <c:pt idx="0">
                  <c:v>0.15862938865128001</c:v>
                </c:pt>
                <c:pt idx="1">
                  <c:v>1.55850100927632E-2</c:v>
                </c:pt>
                <c:pt idx="2">
                  <c:v>7.3148211310386999E-2</c:v>
                </c:pt>
                <c:pt idx="3">
                  <c:v>1.5608150146925501E-2</c:v>
                </c:pt>
                <c:pt idx="4">
                  <c:v>4.7431468374339999E-3</c:v>
                </c:pt>
                <c:pt idx="5">
                  <c:v>1.7842679067263899E-2</c:v>
                </c:pt>
                <c:pt idx="6">
                  <c:v>9.6509220654693195E-2</c:v>
                </c:pt>
                <c:pt idx="7">
                  <c:v>0.44534208933588798</c:v>
                </c:pt>
              </c:numCache>
            </c:numRef>
          </c:val>
          <c:extLst>
            <c:ext xmlns:c16="http://schemas.microsoft.com/office/drawing/2014/chart" uri="{C3380CC4-5D6E-409C-BE32-E72D297353CC}">
              <c16:uniqueId val="{00000002-F555-480D-8A97-8BCBA92DDB00}"/>
            </c:ext>
          </c:extLst>
        </c:ser>
        <c:ser>
          <c:idx val="4"/>
          <c:order val="3"/>
          <c:tx>
            <c:strRef>
              <c:f>'Percent of Waivers'!$F$76</c:f>
              <c:strCache>
                <c:ptCount val="1"/>
                <c:pt idx="0">
                  <c:v>Reciprocal</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'Percent of Waivers'!$A$77:$A$84</c:f>
              <c:strCache>
                <c:ptCount val="8"/>
                <c:pt idx="0">
                  <c:v>UU </c:v>
                </c:pt>
                <c:pt idx="1">
                  <c:v>USU</c:v>
                </c:pt>
                <c:pt idx="2">
                  <c:v>WSU</c:v>
                </c:pt>
                <c:pt idx="3">
                  <c:v>SUU</c:v>
                </c:pt>
                <c:pt idx="4">
                  <c:v>SNOW</c:v>
                </c:pt>
                <c:pt idx="5">
                  <c:v>DSU</c:v>
                </c:pt>
                <c:pt idx="6">
                  <c:v>UVU</c:v>
                </c:pt>
                <c:pt idx="7">
                  <c:v>SLCC</c:v>
                </c:pt>
              </c:strCache>
            </c:strRef>
          </c:cat>
          <c:val>
            <c:numRef>
              <c:f>'Percent of Waivers'!$F$77:$F$84</c:f>
              <c:numCache>
                <c:formatCode>0%</c:formatCode>
                <c:ptCount val="8"/>
                <c:pt idx="0">
                  <c:v>9.9865049253852006E-2</c:v>
                </c:pt>
                <c:pt idx="1">
                  <c:v>3.2382614172143498E-2</c:v>
                </c:pt>
                <c:pt idx="2">
                  <c:v>5.0886577539205197E-2</c:v>
                </c:pt>
                <c:pt idx="3">
                  <c:v>0.207197140423029</c:v>
                </c:pt>
                <c:pt idx="4">
                  <c:v>5.8933862768228297E-2</c:v>
                </c:pt>
                <c:pt idx="5">
                  <c:v>0.172307802523676</c:v>
                </c:pt>
                <c:pt idx="6">
                  <c:v>0.17717550903457699</c:v>
                </c:pt>
                <c:pt idx="7">
                  <c:v>3.54058264845288E-2</c:v>
                </c:pt>
              </c:numCache>
            </c:numRef>
          </c:val>
          <c:extLst>
            <c:ext xmlns:c16="http://schemas.microsoft.com/office/drawing/2014/chart" uri="{C3380CC4-5D6E-409C-BE32-E72D297353CC}">
              <c16:uniqueId val="{00000003-F555-480D-8A97-8BCBA92DDB00}"/>
            </c:ext>
          </c:extLst>
        </c:ser>
        <c:ser>
          <c:idx val="3"/>
          <c:order val="4"/>
          <c:tx>
            <c:strRef>
              <c:f>'Percent of Waivers'!$E$76</c:f>
              <c:strCache>
                <c:ptCount val="1"/>
                <c:pt idx="0">
                  <c:v>Targeted</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dLbl>
              <c:idx val="0"/>
              <c:layout>
                <c:manualLayout>
                  <c:x val="-1.95866683200308E-17"/>
                  <c:y val="-2.0010005002501299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555-480D-8A97-8BCBA92DDB00}"/>
                </c:ext>
              </c:extLst>
            </c:dLbl>
            <c:dLbl>
              <c:idx val="1"/>
              <c:layout>
                <c:manualLayout>
                  <c:x val="2.13675213675214E-3"/>
                  <c:y val="-2.3345005836251501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F555-480D-8A97-8BCBA92DDB00}"/>
                </c:ext>
              </c:extLst>
            </c:dLbl>
            <c:dLbl>
              <c:idx val="2"/>
              <c:layout>
                <c:manualLayout>
                  <c:x val="0"/>
                  <c:y val="-2.3345005836251501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F555-480D-8A97-8BCBA92DDB00}"/>
                </c:ext>
              </c:extLst>
            </c:dLbl>
            <c:dLbl>
              <c:idx val="3"/>
              <c:layout>
                <c:manualLayout>
                  <c:x val="0"/>
                  <c:y val="-2.3345005836251501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F555-480D-8A97-8BCBA92DDB00}"/>
                </c:ext>
              </c:extLst>
            </c:dLbl>
            <c:dLbl>
              <c:idx val="4"/>
              <c:layout>
                <c:manualLayout>
                  <c:x val="-7.8346673280123199E-17"/>
                  <c:y val="-2.3345005836251501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F555-480D-8A97-8BCBA92DDB00}"/>
                </c:ext>
              </c:extLst>
            </c:dLbl>
            <c:dLbl>
              <c:idx val="5"/>
              <c:layout>
                <c:manualLayout>
                  <c:x val="-2.13675213675214E-3"/>
                  <c:y val="-1.6675004168751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F555-480D-8A97-8BCBA92DDB00}"/>
                </c:ext>
              </c:extLst>
            </c:dLbl>
            <c:dLbl>
              <c:idx val="6"/>
              <c:layout>
                <c:manualLayout>
                  <c:x val="0"/>
                  <c:y val="-2.0010005002501299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F555-480D-8A97-8BCBA92DDB00}"/>
                </c:ext>
              </c:extLst>
            </c:dLbl>
            <c:dLbl>
              <c:idx val="7"/>
              <c:layout>
                <c:manualLayout>
                  <c:x val="2.13675213675214E-3"/>
                  <c:y val="-2.0010005002501299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F555-480D-8A97-8BCBA92DDB00}"/>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'Percent of Waivers'!$A$77:$A$84</c:f>
              <c:strCache>
                <c:ptCount val="8"/>
                <c:pt idx="0">
                  <c:v>UU </c:v>
                </c:pt>
                <c:pt idx="1">
                  <c:v>USU</c:v>
                </c:pt>
                <c:pt idx="2">
                  <c:v>WSU</c:v>
                </c:pt>
                <c:pt idx="3">
                  <c:v>SUU</c:v>
                </c:pt>
                <c:pt idx="4">
                  <c:v>SNOW</c:v>
                </c:pt>
                <c:pt idx="5">
                  <c:v>DSU</c:v>
                </c:pt>
                <c:pt idx="6">
                  <c:v>UVU</c:v>
                </c:pt>
                <c:pt idx="7">
                  <c:v>SLCC</c:v>
                </c:pt>
              </c:strCache>
            </c:strRef>
          </c:cat>
          <c:val>
            <c:numRef>
              <c:f>'Percent of Waivers'!$E$77:$E$84</c:f>
              <c:numCache>
                <c:formatCode>0%</c:formatCode>
                <c:ptCount val="8"/>
                <c:pt idx="0">
                  <c:v>1.04092783833809E-3</c:v>
                </c:pt>
                <c:pt idx="1">
                  <c:v>0</c:v>
                </c:pt>
                <c:pt idx="2">
                  <c:v>0</c:v>
                </c:pt>
                <c:pt idx="3">
                  <c:v>0</c:v>
                </c:pt>
                <c:pt idx="4">
                  <c:v>0</c:v>
                </c:pt>
                <c:pt idx="5">
                  <c:v>0</c:v>
                </c:pt>
                <c:pt idx="6">
                  <c:v>0</c:v>
                </c:pt>
                <c:pt idx="7">
                  <c:v>0</c:v>
                </c:pt>
              </c:numCache>
            </c:numRef>
          </c:val>
          <c:extLst>
            <c:ext xmlns:c16="http://schemas.microsoft.com/office/drawing/2014/chart" uri="{C3380CC4-5D6E-409C-BE32-E72D297353CC}">
              <c16:uniqueId val="{0000000C-F555-480D-8A97-8BCBA92DDB00}"/>
            </c:ext>
          </c:extLst>
        </c:ser>
        <c:dLbls>
          <c:dLblPos val="ctr"/>
          <c:showLegendKey val="0"/>
          <c:showVal val="1"/>
          <c:showCatName val="0"/>
          <c:showSerName val="0"/>
          <c:showPercent val="0"/>
          <c:showBubbleSize val="0"/>
        </c:dLbls>
        <c:gapWidth val="150"/>
        <c:overlap val="100"/>
        <c:axId val="-2119075808"/>
        <c:axId val="-2103611728"/>
      </c:barChart>
      <c:catAx>
        <c:axId val="-2119075808"/>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2103611728"/>
        <c:crosses val="autoZero"/>
        <c:auto val="1"/>
        <c:lblAlgn val="ctr"/>
        <c:lblOffset val="100"/>
        <c:noMultiLvlLbl val="0"/>
      </c:catAx>
      <c:valAx>
        <c:axId val="-210361172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21190758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sz="800" baseline="0"/>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4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USHE Issue Brief Template">
  <a:themeElements>
    <a:clrScheme name="USHE Issue Brief 3">
      <a:dk1>
        <a:srgbClr val="000000"/>
      </a:dk1>
      <a:lt1>
        <a:srgbClr val="FFFFFF"/>
      </a:lt1>
      <a:dk2>
        <a:srgbClr val="4B4C4B"/>
      </a:dk2>
      <a:lt2>
        <a:srgbClr val="BEBFBE"/>
      </a:lt2>
      <a:accent1>
        <a:srgbClr val="F9C85A"/>
      </a:accent1>
      <a:accent2>
        <a:srgbClr val="C06024"/>
      </a:accent2>
      <a:accent3>
        <a:srgbClr val="FDF2B4"/>
      </a:accent3>
      <a:accent4>
        <a:srgbClr val="59828C"/>
      </a:accent4>
      <a:accent5>
        <a:srgbClr val="A7D3C0"/>
      </a:accent5>
      <a:accent6>
        <a:srgbClr val="FFFFFF"/>
      </a:accent6>
      <a:hlink>
        <a:srgbClr val="0563C1"/>
      </a:hlink>
      <a:folHlink>
        <a:srgbClr val="954F72"/>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USHE Issue Brief Template" id="{16906856-5CCE-6146-8CC8-513A8FF8303C}" vid="{12B46DAD-E106-2E47-A667-15AFB33D26F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D125ECA-AFBB-429F-BED1-8594EE77E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Tuition Waiver Issue Brief July 2017</Template>
  <TotalTime>2</TotalTime>
  <Pages>1</Pages>
  <Words>2113</Words>
  <Characters>12045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Henrie</dc:creator>
  <cp:lastModifiedBy>Kimberly Henrie</cp:lastModifiedBy>
  <cp:revision>4</cp:revision>
  <cp:lastPrinted>2017-05-05T18:43:00Z</cp:lastPrinted>
  <dcterms:created xsi:type="dcterms:W3CDTF">2017-07-17T17:37:00Z</dcterms:created>
  <dcterms:modified xsi:type="dcterms:W3CDTF">2017-07-20T17:28:00Z</dcterms:modified>
</cp:coreProperties>
</file>